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14" w:rsidRPr="00D54414" w:rsidRDefault="00B85A91" w:rsidP="00D54414">
      <w:pPr>
        <w:spacing w:after="60"/>
        <w:rPr>
          <w:sz w:val="22"/>
          <w:szCs w:val="22"/>
        </w:rPr>
      </w:pPr>
      <w:r w:rsidRPr="00D54414">
        <w:rPr>
          <w:b/>
          <w:sz w:val="22"/>
          <w:szCs w:val="22"/>
          <w:u w:val="single"/>
        </w:rPr>
        <w:t>OBJECTIF :</w:t>
      </w:r>
    </w:p>
    <w:p w:rsidR="00DC5776" w:rsidRDefault="00353E71" w:rsidP="009C52A9">
      <w:pPr>
        <w:jc w:val="both"/>
      </w:pPr>
      <w:r w:rsidRPr="003264FD">
        <w:t xml:space="preserve">Définir les </w:t>
      </w:r>
      <w:r w:rsidR="003264FD" w:rsidRPr="003264FD">
        <w:t>modalités de collaboration en antibiothérapie entre le laboratoire de biologie médicale, les prescripteurs du CH de Sancerre et le pharmacien</w:t>
      </w:r>
      <w:r w:rsidRPr="003264FD">
        <w:t>.</w:t>
      </w:r>
    </w:p>
    <w:p w:rsidR="00890988" w:rsidRPr="00B20737" w:rsidRDefault="00890988" w:rsidP="00890988">
      <w:pPr>
        <w:rPr>
          <w:sz w:val="20"/>
          <w:szCs w:val="20"/>
        </w:rPr>
      </w:pPr>
    </w:p>
    <w:p w:rsidR="00AD0A4D" w:rsidRPr="00D54414" w:rsidRDefault="00D54414" w:rsidP="00D54414">
      <w:pPr>
        <w:spacing w:after="60"/>
        <w:rPr>
          <w:b/>
          <w:sz w:val="22"/>
          <w:szCs w:val="22"/>
          <w:u w:val="single"/>
        </w:rPr>
      </w:pPr>
      <w:r w:rsidRPr="00D54414">
        <w:rPr>
          <w:b/>
          <w:sz w:val="22"/>
          <w:szCs w:val="22"/>
          <w:u w:val="single"/>
        </w:rPr>
        <w:t>REDACTION :</w:t>
      </w:r>
    </w:p>
    <w:p w:rsidR="00D54414" w:rsidRPr="00595343" w:rsidRDefault="00D833A3" w:rsidP="00EE3F86">
      <w:pPr>
        <w:rPr>
          <w:sz w:val="22"/>
          <w:szCs w:val="22"/>
        </w:rPr>
      </w:pPr>
      <w:r>
        <w:rPr>
          <w:sz w:val="22"/>
          <w:szCs w:val="22"/>
        </w:rPr>
        <w:t xml:space="preserve">Dr Jacques Barthélémy, Président du CLIN, </w:t>
      </w:r>
      <w:r w:rsidR="003209D3">
        <w:rPr>
          <w:sz w:val="22"/>
          <w:szCs w:val="22"/>
        </w:rPr>
        <w:t xml:space="preserve">Dr Bénédicte </w:t>
      </w:r>
      <w:proofErr w:type="spellStart"/>
      <w:r w:rsidR="003209D3">
        <w:rPr>
          <w:sz w:val="22"/>
          <w:szCs w:val="22"/>
        </w:rPr>
        <w:t>Pron</w:t>
      </w:r>
      <w:proofErr w:type="spellEnd"/>
      <w:r w:rsidR="003209D3">
        <w:rPr>
          <w:sz w:val="22"/>
          <w:szCs w:val="22"/>
        </w:rPr>
        <w:t xml:space="preserve">, Biologistes, </w:t>
      </w:r>
      <w:r w:rsidR="004B7DCA" w:rsidRPr="003264FD">
        <w:rPr>
          <w:sz w:val="22"/>
          <w:szCs w:val="22"/>
        </w:rPr>
        <w:t>Membres du CLIN</w:t>
      </w:r>
      <w:r w:rsidR="00353E71" w:rsidRPr="003264FD">
        <w:rPr>
          <w:sz w:val="22"/>
          <w:szCs w:val="22"/>
        </w:rPr>
        <w:t>.</w:t>
      </w:r>
    </w:p>
    <w:p w:rsidR="00D54414" w:rsidRDefault="00D54414" w:rsidP="00890988">
      <w:pPr>
        <w:rPr>
          <w:sz w:val="20"/>
          <w:szCs w:val="20"/>
        </w:rPr>
      </w:pPr>
    </w:p>
    <w:p w:rsidR="00D54414" w:rsidRPr="00D54414" w:rsidRDefault="00D54414" w:rsidP="00D54414">
      <w:pPr>
        <w:spacing w:after="60"/>
        <w:rPr>
          <w:b/>
          <w:sz w:val="22"/>
          <w:szCs w:val="22"/>
          <w:u w:val="single"/>
        </w:rPr>
      </w:pPr>
      <w:r w:rsidRPr="00D54414">
        <w:rPr>
          <w:b/>
          <w:sz w:val="22"/>
          <w:szCs w:val="22"/>
          <w:u w:val="single"/>
        </w:rPr>
        <w:t>VALIDE PAR :</w:t>
      </w:r>
    </w:p>
    <w:p w:rsidR="00AD0A4D" w:rsidRPr="00595343" w:rsidRDefault="004B7DCA" w:rsidP="00EE3F86">
      <w:pPr>
        <w:rPr>
          <w:sz w:val="22"/>
          <w:szCs w:val="22"/>
        </w:rPr>
      </w:pPr>
      <w:r w:rsidRPr="003264FD">
        <w:rPr>
          <w:sz w:val="22"/>
          <w:szCs w:val="22"/>
        </w:rPr>
        <w:t>CLIN</w:t>
      </w:r>
      <w:r w:rsidR="00353E71" w:rsidRPr="003264FD">
        <w:rPr>
          <w:sz w:val="22"/>
          <w:szCs w:val="22"/>
        </w:rPr>
        <w:t>, le</w:t>
      </w:r>
      <w:r w:rsidRPr="003264FD">
        <w:rPr>
          <w:sz w:val="22"/>
          <w:szCs w:val="22"/>
        </w:rPr>
        <w:t xml:space="preserve"> 1</w:t>
      </w:r>
      <w:r w:rsidR="00D833A3">
        <w:rPr>
          <w:sz w:val="22"/>
          <w:szCs w:val="22"/>
        </w:rPr>
        <w:t xml:space="preserve">7 décembre </w:t>
      </w:r>
      <w:r w:rsidRPr="003264FD">
        <w:rPr>
          <w:sz w:val="22"/>
          <w:szCs w:val="22"/>
        </w:rPr>
        <w:t>2013</w:t>
      </w:r>
    </w:p>
    <w:p w:rsidR="00AD0A4D" w:rsidRPr="00B20737" w:rsidRDefault="00AD0A4D" w:rsidP="00890988">
      <w:pPr>
        <w:rPr>
          <w:sz w:val="20"/>
          <w:szCs w:val="20"/>
        </w:rPr>
      </w:pPr>
    </w:p>
    <w:p w:rsidR="00AD0A4D" w:rsidRPr="00B82D6C" w:rsidRDefault="00D54414" w:rsidP="00B82D6C">
      <w:pPr>
        <w:spacing w:after="60"/>
        <w:rPr>
          <w:b/>
          <w:sz w:val="22"/>
          <w:szCs w:val="22"/>
          <w:u w:val="single"/>
        </w:rPr>
      </w:pPr>
      <w:r w:rsidRPr="00B82D6C">
        <w:rPr>
          <w:b/>
          <w:sz w:val="22"/>
          <w:szCs w:val="22"/>
          <w:u w:val="single"/>
        </w:rPr>
        <w:t>APPROBATION</w:t>
      </w:r>
      <w:r w:rsidR="00B82D6C" w:rsidRPr="00B82D6C">
        <w:rPr>
          <w:b/>
          <w:sz w:val="22"/>
          <w:szCs w:val="22"/>
          <w:u w:val="single"/>
        </w:rPr>
        <w:t xml:space="preserve"> :</w:t>
      </w:r>
    </w:p>
    <w:p w:rsidR="00D54414" w:rsidRDefault="00353E71" w:rsidP="00890988">
      <w:pPr>
        <w:rPr>
          <w:sz w:val="20"/>
          <w:szCs w:val="20"/>
        </w:rPr>
      </w:pPr>
      <w:r w:rsidRPr="003264FD">
        <w:rPr>
          <w:sz w:val="20"/>
          <w:szCs w:val="20"/>
        </w:rPr>
        <w:t>A adapter en fonction du document</w:t>
      </w:r>
    </w:p>
    <w:tbl>
      <w:tblPr>
        <w:tblW w:w="10206"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07"/>
        <w:gridCol w:w="170"/>
        <w:gridCol w:w="1304"/>
        <w:gridCol w:w="227"/>
        <w:gridCol w:w="907"/>
        <w:gridCol w:w="170"/>
        <w:gridCol w:w="1304"/>
        <w:gridCol w:w="227"/>
        <w:gridCol w:w="907"/>
        <w:gridCol w:w="170"/>
        <w:gridCol w:w="1304"/>
        <w:gridCol w:w="227"/>
        <w:gridCol w:w="907"/>
        <w:gridCol w:w="170"/>
        <w:gridCol w:w="1305"/>
      </w:tblGrid>
      <w:tr w:rsidR="00D54414" w:rsidTr="00D54414">
        <w:trPr>
          <w:jc w:val="center"/>
        </w:trPr>
        <w:tc>
          <w:tcPr>
            <w:tcW w:w="2381" w:type="dxa"/>
            <w:gridSpan w:val="3"/>
            <w:tcBorders>
              <w:top w:val="nil"/>
              <w:left w:val="nil"/>
              <w:bottom w:val="nil"/>
              <w:right w:val="nil"/>
            </w:tcBorders>
            <w:vAlign w:val="center"/>
          </w:tcPr>
          <w:p w:rsidR="00D54414" w:rsidRDefault="00D54414" w:rsidP="00D54414">
            <w:pPr>
              <w:tabs>
                <w:tab w:val="left" w:pos="2268"/>
              </w:tabs>
              <w:jc w:val="center"/>
            </w:pPr>
            <w:r>
              <w:t>Directeur de</w:t>
            </w:r>
            <w:r>
              <w:br/>
              <w:t>l'établissement</w:t>
            </w:r>
          </w:p>
        </w:tc>
        <w:tc>
          <w:tcPr>
            <w:tcW w:w="227" w:type="dxa"/>
            <w:tcBorders>
              <w:top w:val="nil"/>
              <w:left w:val="nil"/>
              <w:bottom w:val="nil"/>
              <w:right w:val="nil"/>
            </w:tcBorders>
            <w:vAlign w:val="center"/>
          </w:tcPr>
          <w:p w:rsidR="00D54414" w:rsidRDefault="00D54414" w:rsidP="00D54414">
            <w:pPr>
              <w:jc w:val="center"/>
            </w:pPr>
          </w:p>
        </w:tc>
        <w:tc>
          <w:tcPr>
            <w:tcW w:w="2381" w:type="dxa"/>
            <w:gridSpan w:val="3"/>
            <w:tcBorders>
              <w:top w:val="nil"/>
              <w:left w:val="nil"/>
              <w:bottom w:val="nil"/>
              <w:right w:val="nil"/>
            </w:tcBorders>
            <w:vAlign w:val="center"/>
          </w:tcPr>
          <w:p w:rsidR="00D54414" w:rsidRDefault="00994937" w:rsidP="00994937">
            <w:pPr>
              <w:jc w:val="center"/>
            </w:pPr>
            <w:r>
              <w:t>Président de la CME</w:t>
            </w:r>
            <w:r w:rsidRPr="00994937">
              <w:rPr>
                <w:highlight w:val="yellow"/>
              </w:rPr>
              <w:t xml:space="preserve"> </w:t>
            </w:r>
          </w:p>
        </w:tc>
        <w:tc>
          <w:tcPr>
            <w:tcW w:w="227" w:type="dxa"/>
            <w:tcBorders>
              <w:top w:val="nil"/>
              <w:left w:val="nil"/>
              <w:bottom w:val="nil"/>
              <w:right w:val="nil"/>
            </w:tcBorders>
            <w:vAlign w:val="center"/>
          </w:tcPr>
          <w:p w:rsidR="00D54414" w:rsidRDefault="00D54414" w:rsidP="00D54414">
            <w:pPr>
              <w:jc w:val="center"/>
            </w:pPr>
          </w:p>
        </w:tc>
        <w:tc>
          <w:tcPr>
            <w:tcW w:w="2381" w:type="dxa"/>
            <w:gridSpan w:val="3"/>
            <w:tcBorders>
              <w:top w:val="nil"/>
              <w:left w:val="nil"/>
              <w:bottom w:val="nil"/>
              <w:right w:val="nil"/>
            </w:tcBorders>
            <w:vAlign w:val="center"/>
          </w:tcPr>
          <w:p w:rsidR="00D54414" w:rsidRDefault="003264FD" w:rsidP="00B82D6C">
            <w:pPr>
              <w:jc w:val="center"/>
            </w:pPr>
            <w:r>
              <w:t>Président du CLIN</w:t>
            </w:r>
          </w:p>
        </w:tc>
        <w:tc>
          <w:tcPr>
            <w:tcW w:w="227" w:type="dxa"/>
            <w:tcBorders>
              <w:top w:val="nil"/>
              <w:left w:val="nil"/>
              <w:bottom w:val="nil"/>
              <w:right w:val="nil"/>
            </w:tcBorders>
            <w:vAlign w:val="center"/>
          </w:tcPr>
          <w:p w:rsidR="00D54414" w:rsidRDefault="00D54414" w:rsidP="00D54414">
            <w:pPr>
              <w:jc w:val="center"/>
            </w:pPr>
          </w:p>
        </w:tc>
        <w:tc>
          <w:tcPr>
            <w:tcW w:w="2382" w:type="dxa"/>
            <w:gridSpan w:val="3"/>
            <w:tcBorders>
              <w:top w:val="nil"/>
              <w:left w:val="nil"/>
              <w:bottom w:val="nil"/>
              <w:right w:val="nil"/>
            </w:tcBorders>
            <w:vAlign w:val="center"/>
          </w:tcPr>
          <w:p w:rsidR="00D54414" w:rsidRDefault="006C7ED6" w:rsidP="00B82D6C">
            <w:pPr>
              <w:jc w:val="center"/>
            </w:pPr>
            <w:r>
              <w:t>Directeur des soins</w:t>
            </w:r>
          </w:p>
        </w:tc>
      </w:tr>
      <w:tr w:rsidR="00D54414" w:rsidTr="00D54414">
        <w:trPr>
          <w:trHeight w:val="673"/>
          <w:jc w:val="center"/>
        </w:trPr>
        <w:tc>
          <w:tcPr>
            <w:tcW w:w="2381" w:type="dxa"/>
            <w:gridSpan w:val="3"/>
            <w:tcBorders>
              <w:top w:val="nil"/>
              <w:left w:val="nil"/>
              <w:bottom w:val="nil"/>
              <w:right w:val="nil"/>
            </w:tcBorders>
          </w:tcPr>
          <w:p w:rsidR="00D54414" w:rsidRDefault="00D54414" w:rsidP="00D54414">
            <w:pPr>
              <w:jc w:val="both"/>
            </w:pPr>
          </w:p>
        </w:tc>
        <w:tc>
          <w:tcPr>
            <w:tcW w:w="227" w:type="dxa"/>
            <w:tcBorders>
              <w:top w:val="nil"/>
              <w:left w:val="nil"/>
              <w:bottom w:val="nil"/>
              <w:right w:val="nil"/>
            </w:tcBorders>
          </w:tcPr>
          <w:p w:rsidR="00D54414" w:rsidRDefault="00D54414" w:rsidP="00D54414">
            <w:pPr>
              <w:jc w:val="both"/>
            </w:pPr>
          </w:p>
        </w:tc>
        <w:tc>
          <w:tcPr>
            <w:tcW w:w="2381" w:type="dxa"/>
            <w:gridSpan w:val="3"/>
            <w:tcBorders>
              <w:top w:val="nil"/>
              <w:left w:val="nil"/>
              <w:bottom w:val="nil"/>
              <w:right w:val="nil"/>
            </w:tcBorders>
          </w:tcPr>
          <w:p w:rsidR="00D54414" w:rsidRDefault="00D54414" w:rsidP="00D54414">
            <w:pPr>
              <w:jc w:val="both"/>
            </w:pPr>
          </w:p>
        </w:tc>
        <w:tc>
          <w:tcPr>
            <w:tcW w:w="227" w:type="dxa"/>
            <w:tcBorders>
              <w:top w:val="nil"/>
              <w:left w:val="nil"/>
              <w:bottom w:val="nil"/>
              <w:right w:val="nil"/>
            </w:tcBorders>
          </w:tcPr>
          <w:p w:rsidR="00D54414" w:rsidRDefault="00D54414" w:rsidP="00D54414">
            <w:pPr>
              <w:jc w:val="both"/>
            </w:pPr>
          </w:p>
        </w:tc>
        <w:tc>
          <w:tcPr>
            <w:tcW w:w="2381" w:type="dxa"/>
            <w:gridSpan w:val="3"/>
            <w:tcBorders>
              <w:top w:val="nil"/>
              <w:left w:val="nil"/>
              <w:bottom w:val="nil"/>
              <w:right w:val="nil"/>
            </w:tcBorders>
          </w:tcPr>
          <w:p w:rsidR="00D54414" w:rsidRDefault="00D54414" w:rsidP="00D54414">
            <w:pPr>
              <w:jc w:val="both"/>
            </w:pPr>
          </w:p>
        </w:tc>
        <w:tc>
          <w:tcPr>
            <w:tcW w:w="227" w:type="dxa"/>
            <w:tcBorders>
              <w:top w:val="nil"/>
              <w:left w:val="nil"/>
              <w:bottom w:val="nil"/>
              <w:right w:val="nil"/>
            </w:tcBorders>
          </w:tcPr>
          <w:p w:rsidR="00D54414" w:rsidRDefault="00D54414" w:rsidP="00D54414">
            <w:pPr>
              <w:jc w:val="both"/>
            </w:pPr>
          </w:p>
        </w:tc>
        <w:tc>
          <w:tcPr>
            <w:tcW w:w="2382" w:type="dxa"/>
            <w:gridSpan w:val="3"/>
            <w:tcBorders>
              <w:top w:val="nil"/>
              <w:left w:val="nil"/>
              <w:bottom w:val="nil"/>
              <w:right w:val="nil"/>
            </w:tcBorders>
          </w:tcPr>
          <w:p w:rsidR="00D54414" w:rsidRDefault="00D54414" w:rsidP="00D54414">
            <w:pPr>
              <w:jc w:val="both"/>
            </w:pPr>
          </w:p>
        </w:tc>
      </w:tr>
      <w:tr w:rsidR="00D54414" w:rsidTr="00D54414">
        <w:trPr>
          <w:cantSplit/>
          <w:jc w:val="center"/>
        </w:trPr>
        <w:tc>
          <w:tcPr>
            <w:tcW w:w="907" w:type="dxa"/>
            <w:tcBorders>
              <w:left w:val="nil"/>
              <w:bottom w:val="nil"/>
              <w:right w:val="nil"/>
            </w:tcBorders>
          </w:tcPr>
          <w:p w:rsidR="00D54414" w:rsidRDefault="00D54414" w:rsidP="00D54414">
            <w:pPr>
              <w:jc w:val="both"/>
            </w:pPr>
            <w:r>
              <w:t>Date</w:t>
            </w:r>
          </w:p>
        </w:tc>
        <w:tc>
          <w:tcPr>
            <w:tcW w:w="170" w:type="dxa"/>
            <w:tcBorders>
              <w:top w:val="nil"/>
              <w:left w:val="nil"/>
              <w:bottom w:val="nil"/>
              <w:right w:val="nil"/>
            </w:tcBorders>
          </w:tcPr>
          <w:p w:rsidR="00D54414" w:rsidRDefault="00D54414" w:rsidP="00D54414">
            <w:pPr>
              <w:jc w:val="both"/>
            </w:pPr>
          </w:p>
        </w:tc>
        <w:tc>
          <w:tcPr>
            <w:tcW w:w="1304" w:type="dxa"/>
            <w:tcBorders>
              <w:left w:val="nil"/>
              <w:bottom w:val="nil"/>
              <w:right w:val="nil"/>
            </w:tcBorders>
          </w:tcPr>
          <w:p w:rsidR="00D54414" w:rsidRDefault="00D54414" w:rsidP="00D54414">
            <w:pPr>
              <w:jc w:val="both"/>
            </w:pPr>
            <w:r>
              <w:t>Signature</w:t>
            </w:r>
          </w:p>
        </w:tc>
        <w:tc>
          <w:tcPr>
            <w:tcW w:w="227" w:type="dxa"/>
            <w:tcBorders>
              <w:top w:val="nil"/>
              <w:left w:val="nil"/>
              <w:bottom w:val="nil"/>
              <w:right w:val="nil"/>
            </w:tcBorders>
          </w:tcPr>
          <w:p w:rsidR="00D54414" w:rsidRDefault="00D54414" w:rsidP="00D54414">
            <w:pPr>
              <w:jc w:val="both"/>
            </w:pPr>
          </w:p>
        </w:tc>
        <w:tc>
          <w:tcPr>
            <w:tcW w:w="907" w:type="dxa"/>
            <w:tcBorders>
              <w:left w:val="nil"/>
              <w:bottom w:val="nil"/>
              <w:right w:val="nil"/>
            </w:tcBorders>
          </w:tcPr>
          <w:p w:rsidR="00D54414" w:rsidRDefault="00D54414" w:rsidP="00D54414">
            <w:pPr>
              <w:jc w:val="both"/>
            </w:pPr>
            <w:r>
              <w:t>Date</w:t>
            </w:r>
          </w:p>
        </w:tc>
        <w:tc>
          <w:tcPr>
            <w:tcW w:w="170" w:type="dxa"/>
            <w:tcBorders>
              <w:top w:val="nil"/>
              <w:left w:val="nil"/>
              <w:bottom w:val="nil"/>
              <w:right w:val="nil"/>
            </w:tcBorders>
          </w:tcPr>
          <w:p w:rsidR="00D54414" w:rsidRDefault="00D54414" w:rsidP="00D54414">
            <w:pPr>
              <w:jc w:val="both"/>
            </w:pPr>
          </w:p>
        </w:tc>
        <w:tc>
          <w:tcPr>
            <w:tcW w:w="1304" w:type="dxa"/>
            <w:tcBorders>
              <w:left w:val="nil"/>
              <w:bottom w:val="nil"/>
              <w:right w:val="nil"/>
            </w:tcBorders>
          </w:tcPr>
          <w:p w:rsidR="00D54414" w:rsidRDefault="00D54414" w:rsidP="00D54414">
            <w:pPr>
              <w:jc w:val="both"/>
            </w:pPr>
            <w:r>
              <w:t>Signature</w:t>
            </w:r>
          </w:p>
        </w:tc>
        <w:tc>
          <w:tcPr>
            <w:tcW w:w="227" w:type="dxa"/>
            <w:tcBorders>
              <w:top w:val="nil"/>
              <w:left w:val="nil"/>
              <w:bottom w:val="nil"/>
              <w:right w:val="nil"/>
            </w:tcBorders>
          </w:tcPr>
          <w:p w:rsidR="00D54414" w:rsidRDefault="00D54414" w:rsidP="00D54414">
            <w:pPr>
              <w:jc w:val="both"/>
            </w:pPr>
          </w:p>
        </w:tc>
        <w:tc>
          <w:tcPr>
            <w:tcW w:w="907" w:type="dxa"/>
            <w:tcBorders>
              <w:left w:val="nil"/>
              <w:bottom w:val="nil"/>
              <w:right w:val="nil"/>
            </w:tcBorders>
          </w:tcPr>
          <w:p w:rsidR="00D54414" w:rsidRDefault="00D54414" w:rsidP="00D54414">
            <w:pPr>
              <w:jc w:val="both"/>
            </w:pPr>
            <w:r>
              <w:t>Date</w:t>
            </w:r>
          </w:p>
        </w:tc>
        <w:tc>
          <w:tcPr>
            <w:tcW w:w="170" w:type="dxa"/>
            <w:tcBorders>
              <w:top w:val="nil"/>
              <w:left w:val="nil"/>
              <w:bottom w:val="nil"/>
              <w:right w:val="nil"/>
            </w:tcBorders>
          </w:tcPr>
          <w:p w:rsidR="00D54414" w:rsidRDefault="00D54414" w:rsidP="00D54414">
            <w:pPr>
              <w:jc w:val="both"/>
            </w:pPr>
          </w:p>
        </w:tc>
        <w:tc>
          <w:tcPr>
            <w:tcW w:w="1304" w:type="dxa"/>
            <w:tcBorders>
              <w:left w:val="nil"/>
              <w:bottom w:val="nil"/>
              <w:right w:val="nil"/>
            </w:tcBorders>
          </w:tcPr>
          <w:p w:rsidR="00D54414" w:rsidRDefault="00D54414" w:rsidP="00D54414">
            <w:pPr>
              <w:jc w:val="both"/>
            </w:pPr>
            <w:r>
              <w:t>Signature</w:t>
            </w:r>
          </w:p>
        </w:tc>
        <w:tc>
          <w:tcPr>
            <w:tcW w:w="227" w:type="dxa"/>
            <w:tcBorders>
              <w:top w:val="nil"/>
              <w:left w:val="nil"/>
              <w:bottom w:val="nil"/>
              <w:right w:val="nil"/>
            </w:tcBorders>
          </w:tcPr>
          <w:p w:rsidR="00D54414" w:rsidRDefault="00D54414" w:rsidP="00D54414">
            <w:pPr>
              <w:jc w:val="both"/>
            </w:pPr>
          </w:p>
        </w:tc>
        <w:tc>
          <w:tcPr>
            <w:tcW w:w="907" w:type="dxa"/>
            <w:tcBorders>
              <w:left w:val="nil"/>
              <w:bottom w:val="nil"/>
              <w:right w:val="nil"/>
            </w:tcBorders>
          </w:tcPr>
          <w:p w:rsidR="00D54414" w:rsidRDefault="00D54414" w:rsidP="00D54414">
            <w:pPr>
              <w:jc w:val="both"/>
            </w:pPr>
            <w:r>
              <w:t>Date</w:t>
            </w:r>
          </w:p>
        </w:tc>
        <w:tc>
          <w:tcPr>
            <w:tcW w:w="170" w:type="dxa"/>
            <w:tcBorders>
              <w:top w:val="nil"/>
              <w:left w:val="nil"/>
              <w:bottom w:val="nil"/>
              <w:right w:val="nil"/>
            </w:tcBorders>
          </w:tcPr>
          <w:p w:rsidR="00D54414" w:rsidRDefault="00D54414" w:rsidP="00D54414">
            <w:pPr>
              <w:jc w:val="both"/>
            </w:pPr>
          </w:p>
        </w:tc>
        <w:tc>
          <w:tcPr>
            <w:tcW w:w="1305" w:type="dxa"/>
            <w:tcBorders>
              <w:left w:val="nil"/>
              <w:bottom w:val="nil"/>
              <w:right w:val="nil"/>
            </w:tcBorders>
          </w:tcPr>
          <w:p w:rsidR="00D54414" w:rsidRDefault="00D54414" w:rsidP="00D54414">
            <w:pPr>
              <w:jc w:val="both"/>
            </w:pPr>
            <w:r>
              <w:t>Signature</w:t>
            </w:r>
          </w:p>
        </w:tc>
      </w:tr>
    </w:tbl>
    <w:p w:rsidR="00A4612F" w:rsidRDefault="00A4612F" w:rsidP="00890988">
      <w:pPr>
        <w:rPr>
          <w:sz w:val="20"/>
          <w:szCs w:val="20"/>
        </w:rPr>
      </w:pPr>
    </w:p>
    <w:p w:rsidR="00B82D6C" w:rsidRPr="00B82D6C" w:rsidRDefault="00B82D6C" w:rsidP="00B82D6C">
      <w:pPr>
        <w:spacing w:after="60"/>
        <w:rPr>
          <w:b/>
          <w:sz w:val="22"/>
          <w:szCs w:val="22"/>
          <w:u w:val="single"/>
        </w:rPr>
      </w:pPr>
      <w:r w:rsidRPr="00B82D6C">
        <w:rPr>
          <w:b/>
          <w:sz w:val="22"/>
          <w:szCs w:val="22"/>
          <w:u w:val="single"/>
        </w:rPr>
        <w:t>APPLICABLE A :</w:t>
      </w:r>
    </w:p>
    <w:p w:rsidR="00B82D6C" w:rsidRPr="00B20737" w:rsidRDefault="00E62F4D" w:rsidP="00890988">
      <w:pPr>
        <w:rPr>
          <w:sz w:val="20"/>
          <w:szCs w:val="20"/>
        </w:rPr>
      </w:pPr>
      <w:r w:rsidRPr="003264FD">
        <w:rPr>
          <w:sz w:val="20"/>
          <w:szCs w:val="20"/>
        </w:rPr>
        <w:t>Tableau à adapter en fonction des besoins</w:t>
      </w:r>
    </w:p>
    <w:tbl>
      <w:tblPr>
        <w:tblW w:w="8994" w:type="dxa"/>
        <w:jc w:val="center"/>
        <w:tblInd w:w="15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4365"/>
        <w:gridCol w:w="4629"/>
      </w:tblGrid>
      <w:tr w:rsidR="00E62F4D" w:rsidTr="00E62F4D">
        <w:trPr>
          <w:trHeight w:val="212"/>
          <w:jc w:val="center"/>
        </w:trPr>
        <w:tc>
          <w:tcPr>
            <w:tcW w:w="4365" w:type="dxa"/>
            <w:tcBorders>
              <w:top w:val="single" w:sz="6" w:space="0" w:color="auto"/>
              <w:left w:val="single" w:sz="6" w:space="0" w:color="auto"/>
              <w:bottom w:val="single" w:sz="6" w:space="0" w:color="auto"/>
              <w:right w:val="single" w:sz="4" w:space="0" w:color="auto"/>
            </w:tcBorders>
            <w:shd w:val="clear" w:color="auto" w:fill="D9D9D9"/>
          </w:tcPr>
          <w:p w:rsidR="00E62F4D" w:rsidRDefault="00E62F4D" w:rsidP="00E62F4D">
            <w:pPr>
              <w:jc w:val="center"/>
              <w:rPr>
                <w:i/>
                <w:iCs/>
              </w:rPr>
            </w:pPr>
            <w:r>
              <w:rPr>
                <w:i/>
                <w:iCs/>
                <w:sz w:val="22"/>
              </w:rPr>
              <w:t>Intervenants concernés :</w:t>
            </w:r>
          </w:p>
        </w:tc>
        <w:tc>
          <w:tcPr>
            <w:tcW w:w="4629" w:type="dxa"/>
            <w:tcBorders>
              <w:top w:val="single" w:sz="6" w:space="0" w:color="auto"/>
              <w:left w:val="single" w:sz="4" w:space="0" w:color="auto"/>
              <w:bottom w:val="single" w:sz="6" w:space="0" w:color="auto"/>
              <w:right w:val="single" w:sz="6" w:space="0" w:color="auto"/>
            </w:tcBorders>
            <w:shd w:val="clear" w:color="auto" w:fill="D9D9D9"/>
          </w:tcPr>
          <w:p w:rsidR="00E62F4D" w:rsidRDefault="00E62F4D" w:rsidP="00B20737">
            <w:pPr>
              <w:jc w:val="center"/>
              <w:rPr>
                <w:i/>
                <w:iCs/>
              </w:rPr>
            </w:pPr>
            <w:r>
              <w:rPr>
                <w:i/>
                <w:iCs/>
                <w:sz w:val="22"/>
              </w:rPr>
              <w:t>Services  concernés :</w:t>
            </w:r>
          </w:p>
        </w:tc>
      </w:tr>
      <w:tr w:rsidR="00E62F4D" w:rsidTr="00E62F4D">
        <w:trPr>
          <w:trHeight w:val="422"/>
          <w:jc w:val="center"/>
        </w:trPr>
        <w:tc>
          <w:tcPr>
            <w:tcW w:w="4365" w:type="dxa"/>
            <w:tcBorders>
              <w:top w:val="single" w:sz="6" w:space="0" w:color="auto"/>
              <w:left w:val="single" w:sz="6" w:space="0" w:color="auto"/>
              <w:bottom w:val="single" w:sz="6" w:space="0" w:color="auto"/>
              <w:right w:val="single" w:sz="4" w:space="0" w:color="auto"/>
            </w:tcBorders>
            <w:vAlign w:val="center"/>
          </w:tcPr>
          <w:p w:rsidR="00E62F4D" w:rsidRPr="00E62F4D" w:rsidRDefault="00E62F4D" w:rsidP="00595343">
            <w:pPr>
              <w:rPr>
                <w:iCs/>
                <w:u w:val="single"/>
              </w:rPr>
            </w:pPr>
            <w:r w:rsidRPr="00E62F4D">
              <w:rPr>
                <w:iCs/>
                <w:u w:val="single"/>
              </w:rPr>
              <w:t>Pour action :</w:t>
            </w:r>
          </w:p>
          <w:p w:rsidR="00E62F4D" w:rsidRPr="004A3DC0" w:rsidRDefault="003264FD" w:rsidP="00595343">
            <w:pPr>
              <w:rPr>
                <w:iCs/>
              </w:rPr>
            </w:pPr>
            <w:r>
              <w:rPr>
                <w:iCs/>
              </w:rPr>
              <w:t>Biologiste, pharmacien, prescripteurs</w:t>
            </w:r>
          </w:p>
        </w:tc>
        <w:tc>
          <w:tcPr>
            <w:tcW w:w="4629" w:type="dxa"/>
            <w:tcBorders>
              <w:top w:val="single" w:sz="6" w:space="0" w:color="auto"/>
              <w:left w:val="single" w:sz="4" w:space="0" w:color="auto"/>
              <w:bottom w:val="single" w:sz="6" w:space="0" w:color="auto"/>
              <w:right w:val="single" w:sz="6" w:space="0" w:color="auto"/>
            </w:tcBorders>
            <w:vAlign w:val="center"/>
          </w:tcPr>
          <w:p w:rsidR="00E62F4D" w:rsidRPr="00E62F4D" w:rsidRDefault="00E62F4D" w:rsidP="00E62F4D">
            <w:pPr>
              <w:rPr>
                <w:iCs/>
                <w:u w:val="single"/>
              </w:rPr>
            </w:pPr>
            <w:r w:rsidRPr="00E62F4D">
              <w:rPr>
                <w:iCs/>
                <w:u w:val="single"/>
              </w:rPr>
              <w:t>Pour action :</w:t>
            </w:r>
          </w:p>
          <w:p w:rsidR="00E62F4D" w:rsidRPr="004A3DC0" w:rsidRDefault="003264FD" w:rsidP="00595343">
            <w:pPr>
              <w:rPr>
                <w:iCs/>
              </w:rPr>
            </w:pPr>
            <w:r>
              <w:rPr>
                <w:iCs/>
              </w:rPr>
              <w:t xml:space="preserve">Tous services de soins, </w:t>
            </w:r>
            <w:proofErr w:type="spellStart"/>
            <w:r>
              <w:rPr>
                <w:iCs/>
              </w:rPr>
              <w:t>EHPADs</w:t>
            </w:r>
            <w:proofErr w:type="spellEnd"/>
            <w:r>
              <w:rPr>
                <w:iCs/>
              </w:rPr>
              <w:t>, laboratoire de biologie médicale, pharmacie</w:t>
            </w:r>
          </w:p>
        </w:tc>
      </w:tr>
      <w:tr w:rsidR="00E62F4D" w:rsidTr="00E62F4D">
        <w:trPr>
          <w:trHeight w:val="422"/>
          <w:jc w:val="center"/>
        </w:trPr>
        <w:tc>
          <w:tcPr>
            <w:tcW w:w="4365" w:type="dxa"/>
            <w:tcBorders>
              <w:top w:val="single" w:sz="6" w:space="0" w:color="auto"/>
              <w:left w:val="single" w:sz="6" w:space="0" w:color="auto"/>
              <w:bottom w:val="single" w:sz="6" w:space="0" w:color="auto"/>
              <w:right w:val="single" w:sz="4" w:space="0" w:color="auto"/>
            </w:tcBorders>
            <w:vAlign w:val="center"/>
          </w:tcPr>
          <w:p w:rsidR="00E62F4D" w:rsidRPr="00E62F4D" w:rsidRDefault="00E62F4D" w:rsidP="00595343">
            <w:pPr>
              <w:rPr>
                <w:iCs/>
                <w:u w:val="single"/>
              </w:rPr>
            </w:pPr>
            <w:r w:rsidRPr="00E62F4D">
              <w:rPr>
                <w:iCs/>
                <w:u w:val="single"/>
              </w:rPr>
              <w:t>Pour information :</w:t>
            </w:r>
          </w:p>
          <w:p w:rsidR="00E62F4D" w:rsidRPr="004A3DC0" w:rsidRDefault="003264FD" w:rsidP="00595343">
            <w:pPr>
              <w:rPr>
                <w:iCs/>
              </w:rPr>
            </w:pPr>
            <w:r>
              <w:rPr>
                <w:iCs/>
              </w:rPr>
              <w:t>Tous services</w:t>
            </w:r>
          </w:p>
        </w:tc>
        <w:tc>
          <w:tcPr>
            <w:tcW w:w="4629" w:type="dxa"/>
            <w:tcBorders>
              <w:top w:val="single" w:sz="6" w:space="0" w:color="auto"/>
              <w:left w:val="single" w:sz="4" w:space="0" w:color="auto"/>
              <w:bottom w:val="single" w:sz="6" w:space="0" w:color="auto"/>
              <w:right w:val="single" w:sz="6" w:space="0" w:color="auto"/>
            </w:tcBorders>
            <w:vAlign w:val="center"/>
          </w:tcPr>
          <w:p w:rsidR="00E62F4D" w:rsidRPr="00E62F4D" w:rsidRDefault="00E62F4D" w:rsidP="00E62F4D">
            <w:pPr>
              <w:rPr>
                <w:iCs/>
                <w:u w:val="single"/>
              </w:rPr>
            </w:pPr>
            <w:r w:rsidRPr="00E62F4D">
              <w:rPr>
                <w:iCs/>
                <w:u w:val="single"/>
              </w:rPr>
              <w:t>Pour information :</w:t>
            </w:r>
          </w:p>
          <w:p w:rsidR="00E62F4D" w:rsidRPr="004A3DC0" w:rsidRDefault="003264FD" w:rsidP="00595343">
            <w:pPr>
              <w:rPr>
                <w:iCs/>
              </w:rPr>
            </w:pPr>
            <w:r>
              <w:rPr>
                <w:iCs/>
              </w:rPr>
              <w:t>Tous services</w:t>
            </w:r>
          </w:p>
        </w:tc>
      </w:tr>
    </w:tbl>
    <w:p w:rsidR="00A4612F" w:rsidRPr="00595343" w:rsidRDefault="00A4612F" w:rsidP="00890988">
      <w:pPr>
        <w:rPr>
          <w:sz w:val="20"/>
          <w:szCs w:val="20"/>
        </w:rPr>
      </w:pPr>
    </w:p>
    <w:p w:rsidR="00890988" w:rsidRPr="00595343" w:rsidRDefault="00D1710A" w:rsidP="00595343">
      <w:pPr>
        <w:spacing w:after="60"/>
        <w:rPr>
          <w:b/>
          <w:sz w:val="22"/>
          <w:szCs w:val="22"/>
          <w:u w:val="single"/>
        </w:rPr>
      </w:pPr>
      <w:r>
        <w:rPr>
          <w:b/>
          <w:sz w:val="22"/>
          <w:szCs w:val="22"/>
          <w:u w:val="single"/>
        </w:rPr>
        <w:t>DOCUMENTS DE REFERENCE</w:t>
      </w:r>
      <w:r w:rsidR="00595343" w:rsidRPr="00595343">
        <w:rPr>
          <w:b/>
          <w:sz w:val="22"/>
          <w:szCs w:val="22"/>
          <w:u w:val="single"/>
        </w:rPr>
        <w:t xml:space="preserve"> </w:t>
      </w:r>
      <w:r w:rsidR="00595343">
        <w:rPr>
          <w:b/>
          <w:sz w:val="22"/>
          <w:szCs w:val="22"/>
          <w:u w:val="single"/>
        </w:rPr>
        <w:t>:</w:t>
      </w:r>
    </w:p>
    <w:p w:rsidR="00595343" w:rsidRDefault="003264FD" w:rsidP="00D1710A">
      <w:pPr>
        <w:pStyle w:val="Paragraphedeliste"/>
        <w:numPr>
          <w:ilvl w:val="0"/>
          <w:numId w:val="3"/>
        </w:numPr>
        <w:spacing w:after="120"/>
        <w:ind w:left="714" w:hanging="357"/>
        <w:rPr>
          <w:sz w:val="20"/>
          <w:szCs w:val="20"/>
        </w:rPr>
      </w:pPr>
      <w:r>
        <w:rPr>
          <w:sz w:val="20"/>
          <w:szCs w:val="20"/>
        </w:rPr>
        <w:t>Instruction n° DGOS/PF2/2013/103 du 15 mars 2013 relative au bilan des activités de lutte contre les infections nosocomiales dans les établissements de santé pour l’année 2012.</w:t>
      </w:r>
    </w:p>
    <w:p w:rsidR="002C13E2" w:rsidRDefault="002C13E2" w:rsidP="00D1710A">
      <w:pPr>
        <w:pStyle w:val="Paragraphedeliste"/>
        <w:numPr>
          <w:ilvl w:val="0"/>
          <w:numId w:val="3"/>
        </w:numPr>
        <w:spacing w:after="120"/>
        <w:ind w:left="714" w:hanging="357"/>
        <w:rPr>
          <w:sz w:val="20"/>
          <w:szCs w:val="20"/>
        </w:rPr>
      </w:pPr>
      <w:r>
        <w:rPr>
          <w:sz w:val="20"/>
          <w:szCs w:val="20"/>
        </w:rPr>
        <w:t xml:space="preserve">V2010 </w:t>
      </w:r>
      <w:r w:rsidR="00160570">
        <w:rPr>
          <w:sz w:val="20"/>
          <w:szCs w:val="20"/>
        </w:rPr>
        <w:t>–</w:t>
      </w:r>
      <w:r>
        <w:rPr>
          <w:sz w:val="20"/>
          <w:szCs w:val="20"/>
        </w:rPr>
        <w:t xml:space="preserve"> </w:t>
      </w:r>
      <w:r w:rsidR="00160570">
        <w:rPr>
          <w:sz w:val="20"/>
          <w:szCs w:val="20"/>
        </w:rPr>
        <w:t>Manuel de certification, avril 2011</w:t>
      </w:r>
    </w:p>
    <w:p w:rsidR="00D833A3" w:rsidRPr="00353E71" w:rsidRDefault="00D833A3" w:rsidP="00D1710A">
      <w:pPr>
        <w:pStyle w:val="Paragraphedeliste"/>
        <w:numPr>
          <w:ilvl w:val="0"/>
          <w:numId w:val="3"/>
        </w:numPr>
        <w:spacing w:after="120"/>
        <w:ind w:left="714" w:hanging="357"/>
        <w:rPr>
          <w:sz w:val="20"/>
          <w:szCs w:val="20"/>
        </w:rPr>
      </w:pPr>
      <w:r>
        <w:rPr>
          <w:sz w:val="20"/>
          <w:szCs w:val="20"/>
        </w:rPr>
        <w:t>BILANLIN 2012</w:t>
      </w:r>
    </w:p>
    <w:p w:rsidR="00595343" w:rsidRPr="00353E71" w:rsidRDefault="00595343" w:rsidP="00890988">
      <w:pPr>
        <w:rPr>
          <w:sz w:val="20"/>
          <w:szCs w:val="20"/>
        </w:rPr>
      </w:pPr>
    </w:p>
    <w:p w:rsidR="00595343" w:rsidRPr="00595343" w:rsidRDefault="00595343" w:rsidP="00595343">
      <w:pPr>
        <w:spacing w:after="60"/>
        <w:rPr>
          <w:b/>
          <w:sz w:val="22"/>
          <w:szCs w:val="22"/>
          <w:u w:val="single"/>
        </w:rPr>
      </w:pPr>
      <w:r w:rsidRPr="00595343">
        <w:rPr>
          <w:b/>
          <w:sz w:val="22"/>
          <w:szCs w:val="22"/>
          <w:u w:val="single"/>
        </w:rPr>
        <w:t>DOCUMENT ASSOCIES</w:t>
      </w:r>
      <w:r>
        <w:rPr>
          <w:b/>
          <w:sz w:val="22"/>
          <w:szCs w:val="22"/>
          <w:u w:val="single"/>
        </w:rPr>
        <w:t xml:space="preserve"> :</w:t>
      </w:r>
    </w:p>
    <w:p w:rsidR="00DC5776" w:rsidRDefault="00353E71" w:rsidP="00DC5776">
      <w:pPr>
        <w:pStyle w:val="Paragraphedeliste"/>
        <w:numPr>
          <w:ilvl w:val="0"/>
          <w:numId w:val="3"/>
        </w:numPr>
        <w:spacing w:after="120"/>
        <w:ind w:left="714" w:hanging="357"/>
        <w:rPr>
          <w:sz w:val="20"/>
          <w:szCs w:val="20"/>
        </w:rPr>
      </w:pPr>
      <w:r>
        <w:rPr>
          <w:sz w:val="20"/>
          <w:szCs w:val="20"/>
        </w:rPr>
        <w:t>Liste des documents associés</w:t>
      </w:r>
    </w:p>
    <w:p w:rsidR="00890988" w:rsidRPr="00B20737" w:rsidRDefault="00890988" w:rsidP="00890988">
      <w:pPr>
        <w:rPr>
          <w:sz w:val="20"/>
          <w:szCs w:val="20"/>
        </w:rPr>
      </w:pPr>
    </w:p>
    <w:p w:rsidR="00890988" w:rsidRPr="00B82D6C" w:rsidRDefault="00B85A91" w:rsidP="00B82D6C">
      <w:pPr>
        <w:spacing w:after="60"/>
        <w:rPr>
          <w:b/>
          <w:sz w:val="22"/>
          <w:szCs w:val="22"/>
          <w:u w:val="single"/>
        </w:rPr>
      </w:pPr>
      <w:r w:rsidRPr="00B82D6C">
        <w:rPr>
          <w:b/>
          <w:sz w:val="22"/>
          <w:szCs w:val="22"/>
          <w:u w:val="single"/>
        </w:rPr>
        <w:t>MODIFICATION</w:t>
      </w:r>
      <w:r w:rsidR="00AD0A4D" w:rsidRPr="00B82D6C">
        <w:rPr>
          <w:b/>
          <w:sz w:val="22"/>
          <w:szCs w:val="22"/>
          <w:u w:val="single"/>
        </w:rPr>
        <w:t xml:space="preserve"> : </w:t>
      </w:r>
    </w:p>
    <w:p w:rsidR="00B85A91" w:rsidRPr="00B20737" w:rsidRDefault="00B85A91" w:rsidP="00890988">
      <w:pPr>
        <w:rPr>
          <w:sz w:val="20"/>
          <w:szCs w:val="20"/>
        </w:rPr>
      </w:pPr>
    </w:p>
    <w:tbl>
      <w:tblPr>
        <w:tblStyle w:val="Grilledutableau"/>
        <w:tblW w:w="10633" w:type="dxa"/>
        <w:jc w:val="center"/>
        <w:tblInd w:w="-743" w:type="dxa"/>
        <w:tblLook w:val="04A0"/>
      </w:tblPr>
      <w:tblGrid>
        <w:gridCol w:w="1560"/>
        <w:gridCol w:w="7371"/>
        <w:gridCol w:w="1702"/>
      </w:tblGrid>
      <w:tr w:rsidR="00AD0A4D" w:rsidTr="00DE025A">
        <w:trPr>
          <w:trHeight w:val="454"/>
          <w:jc w:val="center"/>
        </w:trPr>
        <w:tc>
          <w:tcPr>
            <w:tcW w:w="1560" w:type="dxa"/>
            <w:vAlign w:val="center"/>
          </w:tcPr>
          <w:p w:rsidR="00AD0A4D" w:rsidRDefault="00E53113" w:rsidP="00B85A91">
            <w:pPr>
              <w:jc w:val="center"/>
            </w:pPr>
            <w:r>
              <w:t>Version</w:t>
            </w:r>
          </w:p>
        </w:tc>
        <w:tc>
          <w:tcPr>
            <w:tcW w:w="7371" w:type="dxa"/>
            <w:vAlign w:val="center"/>
          </w:tcPr>
          <w:p w:rsidR="00AD0A4D" w:rsidRDefault="00B85A91" w:rsidP="00B85A91">
            <w:pPr>
              <w:jc w:val="center"/>
            </w:pPr>
            <w:r>
              <w:t>NATURE DE LA MODIFICATION</w:t>
            </w:r>
          </w:p>
        </w:tc>
        <w:tc>
          <w:tcPr>
            <w:tcW w:w="1702" w:type="dxa"/>
            <w:vAlign w:val="center"/>
          </w:tcPr>
          <w:p w:rsidR="00AD0A4D" w:rsidRDefault="00B85A91" w:rsidP="00B85A91">
            <w:pPr>
              <w:jc w:val="center"/>
            </w:pPr>
            <w:r>
              <w:t>PAGES</w:t>
            </w:r>
          </w:p>
        </w:tc>
      </w:tr>
      <w:tr w:rsidR="00AD0A4D" w:rsidTr="00DE025A">
        <w:trPr>
          <w:trHeight w:val="289"/>
          <w:jc w:val="center"/>
        </w:trPr>
        <w:tc>
          <w:tcPr>
            <w:tcW w:w="1560" w:type="dxa"/>
            <w:vAlign w:val="center"/>
          </w:tcPr>
          <w:p w:rsidR="00AD0A4D" w:rsidRDefault="00AD0A4D" w:rsidP="00B85A91">
            <w:pPr>
              <w:jc w:val="center"/>
            </w:pPr>
          </w:p>
        </w:tc>
        <w:tc>
          <w:tcPr>
            <w:tcW w:w="7371" w:type="dxa"/>
            <w:vAlign w:val="center"/>
          </w:tcPr>
          <w:p w:rsidR="00AD0A4D" w:rsidRDefault="00AD0A4D" w:rsidP="00B85A91">
            <w:pPr>
              <w:jc w:val="center"/>
            </w:pPr>
          </w:p>
        </w:tc>
        <w:tc>
          <w:tcPr>
            <w:tcW w:w="1702" w:type="dxa"/>
            <w:vAlign w:val="center"/>
          </w:tcPr>
          <w:p w:rsidR="00AD0A4D" w:rsidRDefault="00AD0A4D" w:rsidP="00B85A91">
            <w:pPr>
              <w:jc w:val="center"/>
            </w:pPr>
          </w:p>
        </w:tc>
      </w:tr>
      <w:tr w:rsidR="00AD0A4D" w:rsidTr="00DE025A">
        <w:trPr>
          <w:trHeight w:val="289"/>
          <w:jc w:val="center"/>
        </w:trPr>
        <w:tc>
          <w:tcPr>
            <w:tcW w:w="1560" w:type="dxa"/>
            <w:vAlign w:val="center"/>
          </w:tcPr>
          <w:p w:rsidR="00AD0A4D" w:rsidRDefault="00AD0A4D" w:rsidP="00B85A91">
            <w:pPr>
              <w:jc w:val="center"/>
            </w:pPr>
          </w:p>
        </w:tc>
        <w:tc>
          <w:tcPr>
            <w:tcW w:w="7371" w:type="dxa"/>
            <w:vAlign w:val="center"/>
          </w:tcPr>
          <w:p w:rsidR="00AD0A4D" w:rsidRDefault="00AD0A4D" w:rsidP="00B85A91">
            <w:pPr>
              <w:jc w:val="center"/>
            </w:pPr>
          </w:p>
        </w:tc>
        <w:tc>
          <w:tcPr>
            <w:tcW w:w="1702" w:type="dxa"/>
            <w:vAlign w:val="center"/>
          </w:tcPr>
          <w:p w:rsidR="00AD0A4D" w:rsidRDefault="00AD0A4D" w:rsidP="00B85A91">
            <w:pPr>
              <w:jc w:val="center"/>
            </w:pPr>
          </w:p>
        </w:tc>
      </w:tr>
    </w:tbl>
    <w:p w:rsidR="003264FD" w:rsidRDefault="00413C9B" w:rsidP="006832DB">
      <w:pPr>
        <w:spacing w:after="200" w:line="276" w:lineRule="auto"/>
        <w:jc w:val="both"/>
        <w:rPr>
          <w:rFonts w:asciiTheme="minorHAnsi" w:hAnsiTheme="minorHAnsi"/>
          <w:b/>
          <w:sz w:val="28"/>
          <w:szCs w:val="28"/>
        </w:rPr>
      </w:pPr>
      <w:r w:rsidRPr="00413C9B">
        <w:rPr>
          <w:rFonts w:asciiTheme="minorHAnsi" w:hAnsiTheme="minorHAnsi"/>
          <w:b/>
          <w:sz w:val="28"/>
          <w:szCs w:val="28"/>
          <w:highlight w:val="yellow"/>
        </w:rPr>
        <w:lastRenderedPageBreak/>
        <w:t>Référenc</w:t>
      </w:r>
      <w:r w:rsidR="0064476E">
        <w:rPr>
          <w:rFonts w:asciiTheme="minorHAnsi" w:hAnsiTheme="minorHAnsi"/>
          <w:b/>
          <w:sz w:val="28"/>
          <w:szCs w:val="28"/>
          <w:highlight w:val="yellow"/>
        </w:rPr>
        <w:t>es</w:t>
      </w:r>
      <w:r w:rsidRPr="00413C9B">
        <w:rPr>
          <w:rFonts w:asciiTheme="minorHAnsi" w:hAnsiTheme="minorHAnsi"/>
          <w:b/>
          <w:sz w:val="28"/>
          <w:szCs w:val="28"/>
        </w:rPr>
        <w:t xml:space="preserve"> </w:t>
      </w:r>
    </w:p>
    <w:p w:rsidR="003264FD" w:rsidRPr="009C52A9" w:rsidRDefault="00D833A3" w:rsidP="009C52A9">
      <w:pPr>
        <w:pStyle w:val="Paragraphedeliste"/>
        <w:numPr>
          <w:ilvl w:val="0"/>
          <w:numId w:val="14"/>
        </w:numPr>
        <w:jc w:val="both"/>
      </w:pPr>
      <w:r>
        <w:t xml:space="preserve">BILANLIN 2012 - </w:t>
      </w:r>
      <w:r w:rsidR="002C13E2" w:rsidRPr="009C52A9">
        <w:t>ATBO3 - « Les modalités de collaboration entre le référent en antibiothérapie, le pharmacien, le microbiologiste et l’</w:t>
      </w:r>
      <w:proofErr w:type="spellStart"/>
      <w:r w:rsidR="002C13E2" w:rsidRPr="009C52A9">
        <w:t>infectiologue</w:t>
      </w:r>
      <w:proofErr w:type="spellEnd"/>
      <w:r w:rsidR="002C13E2" w:rsidRPr="009C52A9">
        <w:t xml:space="preserve"> le cas échéant, sont définies »</w:t>
      </w:r>
    </w:p>
    <w:p w:rsidR="00F7399E" w:rsidRDefault="009C52A9" w:rsidP="00F7399E">
      <w:pPr>
        <w:pStyle w:val="Paragraphedeliste"/>
        <w:numPr>
          <w:ilvl w:val="0"/>
          <w:numId w:val="14"/>
        </w:numPr>
        <w:spacing w:after="120"/>
        <w:jc w:val="both"/>
      </w:pPr>
      <w:r w:rsidRPr="00D71184">
        <w:t>Instruction n° DGOS/PF2/2013/103 du 15 mars 2013 relative au bilan des activités de lutte contre les infections nosocomiales dans les établissem</w:t>
      </w:r>
      <w:r>
        <w:t xml:space="preserve">ents de santé pour l’année 2012, notamment ICATB2 </w:t>
      </w:r>
      <w:r w:rsidR="00F7399E">
        <w:t>–</w:t>
      </w:r>
      <w:r>
        <w:t xml:space="preserve"> ORGANISATION</w:t>
      </w:r>
    </w:p>
    <w:p w:rsidR="00F7399E" w:rsidRPr="00F7399E" w:rsidRDefault="00F7399E" w:rsidP="00F7399E">
      <w:pPr>
        <w:pStyle w:val="Paragraphedeliste"/>
        <w:numPr>
          <w:ilvl w:val="0"/>
          <w:numId w:val="14"/>
        </w:numPr>
        <w:spacing w:after="120"/>
        <w:jc w:val="both"/>
      </w:pPr>
      <w:r w:rsidRPr="00F7399E">
        <w:t>Liste des Bactéries Multi-Résistantes (BMR) : Consensus national des C-</w:t>
      </w:r>
      <w:proofErr w:type="spellStart"/>
      <w:r w:rsidRPr="00F7399E">
        <w:t>CLINs</w:t>
      </w:r>
      <w:proofErr w:type="spellEnd"/>
    </w:p>
    <w:p w:rsidR="00657A85" w:rsidRDefault="00657A85" w:rsidP="00657A85">
      <w:pPr>
        <w:spacing w:after="200"/>
        <w:contextualSpacing/>
        <w:jc w:val="both"/>
        <w:rPr>
          <w:rFonts w:asciiTheme="minorHAnsi" w:hAnsiTheme="minorHAnsi"/>
        </w:rPr>
      </w:pPr>
    </w:p>
    <w:p w:rsidR="005F5BAC" w:rsidRDefault="003264FD" w:rsidP="006832DB">
      <w:pPr>
        <w:spacing w:after="200" w:line="276" w:lineRule="auto"/>
        <w:jc w:val="both"/>
        <w:rPr>
          <w:rFonts w:asciiTheme="minorHAnsi" w:hAnsiTheme="minorHAnsi"/>
          <w:b/>
          <w:sz w:val="28"/>
          <w:szCs w:val="28"/>
        </w:rPr>
      </w:pPr>
      <w:r w:rsidRPr="00413C9B">
        <w:rPr>
          <w:rFonts w:asciiTheme="minorHAnsi" w:hAnsiTheme="minorHAnsi"/>
          <w:b/>
          <w:sz w:val="28"/>
          <w:szCs w:val="28"/>
          <w:highlight w:val="yellow"/>
        </w:rPr>
        <w:t>Liste des BMR</w:t>
      </w:r>
      <w:r w:rsidRPr="003264FD">
        <w:rPr>
          <w:rFonts w:asciiTheme="minorHAnsi" w:hAnsiTheme="minorHAnsi"/>
          <w:b/>
          <w:sz w:val="28"/>
          <w:szCs w:val="28"/>
        </w:rPr>
        <w:t xml:space="preserve"> (bactéries multi-résistante</w:t>
      </w:r>
      <w:r w:rsidR="005F5BAC">
        <w:rPr>
          <w:rFonts w:asciiTheme="minorHAnsi" w:hAnsiTheme="minorHAnsi"/>
          <w:b/>
          <w:sz w:val="28"/>
          <w:szCs w:val="28"/>
        </w:rPr>
        <w:t>s</w:t>
      </w:r>
      <w:r w:rsidR="00ED6BF7">
        <w:rPr>
          <w:rFonts w:asciiTheme="minorHAnsi" w:hAnsiTheme="minorHAnsi"/>
          <w:b/>
          <w:sz w:val="28"/>
          <w:szCs w:val="28"/>
        </w:rPr>
        <w:t xml:space="preserve">, Consensus national des </w:t>
      </w:r>
      <w:proofErr w:type="spellStart"/>
      <w:r w:rsidR="00ED6BF7">
        <w:rPr>
          <w:rFonts w:asciiTheme="minorHAnsi" w:hAnsiTheme="minorHAnsi"/>
          <w:b/>
          <w:sz w:val="28"/>
          <w:szCs w:val="28"/>
        </w:rPr>
        <w:t>CCLINs</w:t>
      </w:r>
      <w:proofErr w:type="spellEnd"/>
      <w:r w:rsidR="005F5BAC">
        <w:rPr>
          <w:rFonts w:asciiTheme="minorHAnsi" w:hAnsiTheme="minorHAnsi"/>
          <w:b/>
          <w:sz w:val="28"/>
          <w:szCs w:val="28"/>
        </w:rPr>
        <w:t>)</w:t>
      </w:r>
    </w:p>
    <w:p w:rsidR="003264FD" w:rsidRPr="00D833A3" w:rsidRDefault="003264FD" w:rsidP="006832DB">
      <w:pPr>
        <w:spacing w:after="200" w:line="276" w:lineRule="auto"/>
        <w:jc w:val="both"/>
        <w:rPr>
          <w:rFonts w:asciiTheme="minorHAnsi" w:hAnsiTheme="minorHAnsi"/>
          <w:sz w:val="28"/>
          <w:szCs w:val="28"/>
        </w:rPr>
      </w:pPr>
      <w:r w:rsidRPr="00D833A3">
        <w:rPr>
          <w:rFonts w:asciiTheme="minorHAnsi" w:hAnsiTheme="minorHAnsi"/>
          <w:sz w:val="28"/>
          <w:szCs w:val="28"/>
        </w:rPr>
        <w:t>Les bactéries ci-dessous sont considérées comme les BMR (bactéries multi-résistantes) pour lesquelles une stratégie de surveillance est organisée pour l’établissement :</w:t>
      </w:r>
    </w:p>
    <w:p w:rsidR="00F7399E" w:rsidRPr="00F7399E" w:rsidRDefault="00F7399E" w:rsidP="00D833A3">
      <w:pPr>
        <w:pStyle w:val="Paragraphedeliste"/>
        <w:widowControl w:val="0"/>
        <w:numPr>
          <w:ilvl w:val="0"/>
          <w:numId w:val="20"/>
        </w:numPr>
        <w:spacing w:line="240" w:lineRule="auto"/>
        <w:rPr>
          <w:sz w:val="20"/>
          <w:szCs w:val="20"/>
        </w:rPr>
      </w:pPr>
      <w:proofErr w:type="spellStart"/>
      <w:r w:rsidRPr="00F7399E">
        <w:rPr>
          <w:i/>
        </w:rPr>
        <w:t>Staphylococcus</w:t>
      </w:r>
      <w:proofErr w:type="spellEnd"/>
      <w:r w:rsidRPr="00F7399E">
        <w:rPr>
          <w:i/>
        </w:rPr>
        <w:t xml:space="preserve"> aureus</w:t>
      </w:r>
      <w:r w:rsidRPr="00F7399E">
        <w:t xml:space="preserve"> résistant à la </w:t>
      </w:r>
      <w:proofErr w:type="spellStart"/>
      <w:r w:rsidRPr="00F7399E">
        <w:t>méticilline</w:t>
      </w:r>
      <w:proofErr w:type="spellEnd"/>
      <w:r w:rsidRPr="00F7399E">
        <w:t xml:space="preserve"> : </w:t>
      </w:r>
      <w:r w:rsidRPr="00D833A3">
        <w:rPr>
          <w:b/>
          <w:u w:val="single"/>
        </w:rPr>
        <w:t>SARM</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Risque d’impasse thérapeutique</w:t>
      </w:r>
    </w:p>
    <w:p w:rsidR="00ED6BF7" w:rsidRPr="00F7399E" w:rsidRDefault="00ED6BF7" w:rsidP="00ED6BF7">
      <w:pPr>
        <w:pStyle w:val="Paragraphedeliste"/>
        <w:widowControl w:val="0"/>
        <w:spacing w:line="240" w:lineRule="auto"/>
        <w:ind w:left="1440"/>
        <w:rPr>
          <w:sz w:val="20"/>
          <w:szCs w:val="20"/>
        </w:rPr>
      </w:pPr>
    </w:p>
    <w:p w:rsidR="00F7399E" w:rsidRPr="00F7399E" w:rsidRDefault="00F7399E" w:rsidP="00D833A3">
      <w:pPr>
        <w:pStyle w:val="Paragraphedeliste"/>
        <w:widowControl w:val="0"/>
        <w:numPr>
          <w:ilvl w:val="0"/>
          <w:numId w:val="21"/>
        </w:numPr>
        <w:spacing w:line="240" w:lineRule="auto"/>
        <w:rPr>
          <w:sz w:val="20"/>
          <w:szCs w:val="20"/>
        </w:rPr>
      </w:pPr>
      <w:r w:rsidRPr="00F7399E">
        <w:t>Entérobactéries productrices de béta-</w:t>
      </w:r>
      <w:proofErr w:type="spellStart"/>
      <w:r w:rsidRPr="00F7399E">
        <w:t>lactamase</w:t>
      </w:r>
      <w:proofErr w:type="spellEnd"/>
      <w:r w:rsidRPr="00F7399E">
        <w:t xml:space="preserve"> à spectre élargi : </w:t>
      </w:r>
      <w:r w:rsidRPr="00D833A3">
        <w:rPr>
          <w:b/>
          <w:u w:val="single"/>
        </w:rPr>
        <w:t>BLSE</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Risque d’impasse thérapeutique</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 xml:space="preserve">Diffusion </w:t>
      </w:r>
      <w:proofErr w:type="spellStart"/>
      <w:r w:rsidRPr="00F7399E">
        <w:rPr>
          <w:sz w:val="20"/>
          <w:szCs w:val="20"/>
        </w:rPr>
        <w:t>plasmidique</w:t>
      </w:r>
      <w:proofErr w:type="spellEnd"/>
      <w:r w:rsidRPr="00F7399E">
        <w:rPr>
          <w:sz w:val="20"/>
          <w:szCs w:val="20"/>
        </w:rPr>
        <w:t xml:space="preserve"> de la résistance (« contagion »)</w:t>
      </w:r>
    </w:p>
    <w:p w:rsidR="00ED6BF7" w:rsidRPr="00F7399E" w:rsidRDefault="00ED6BF7" w:rsidP="00ED6BF7">
      <w:pPr>
        <w:pStyle w:val="Paragraphedeliste"/>
        <w:widowControl w:val="0"/>
        <w:spacing w:line="240" w:lineRule="auto"/>
        <w:ind w:left="1440"/>
        <w:rPr>
          <w:sz w:val="20"/>
          <w:szCs w:val="20"/>
        </w:rPr>
      </w:pPr>
    </w:p>
    <w:p w:rsidR="00F7399E" w:rsidRPr="00F7399E" w:rsidRDefault="00F7399E" w:rsidP="00D833A3">
      <w:pPr>
        <w:pStyle w:val="Paragraphedeliste"/>
        <w:widowControl w:val="0"/>
        <w:numPr>
          <w:ilvl w:val="0"/>
          <w:numId w:val="22"/>
        </w:numPr>
        <w:spacing w:line="240" w:lineRule="auto"/>
        <w:rPr>
          <w:sz w:val="20"/>
          <w:szCs w:val="20"/>
        </w:rPr>
      </w:pPr>
      <w:r w:rsidRPr="00F7399E">
        <w:t xml:space="preserve">Entérobactéries productrices de </w:t>
      </w:r>
      <w:proofErr w:type="spellStart"/>
      <w:r w:rsidRPr="00F7399E">
        <w:t>carbapénèmase</w:t>
      </w:r>
      <w:proofErr w:type="spellEnd"/>
      <w:r w:rsidRPr="00F7399E">
        <w:t xml:space="preserve"> : </w:t>
      </w:r>
      <w:r w:rsidRPr="00D833A3">
        <w:rPr>
          <w:b/>
          <w:u w:val="single"/>
        </w:rPr>
        <w:t>EPC</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Risque d’impasse thérapeutique</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 xml:space="preserve">Diffusion </w:t>
      </w:r>
      <w:proofErr w:type="spellStart"/>
      <w:r w:rsidRPr="00F7399E">
        <w:rPr>
          <w:sz w:val="20"/>
          <w:szCs w:val="20"/>
        </w:rPr>
        <w:t>plasmidique</w:t>
      </w:r>
      <w:proofErr w:type="spellEnd"/>
      <w:r w:rsidRPr="00F7399E">
        <w:rPr>
          <w:sz w:val="20"/>
          <w:szCs w:val="20"/>
        </w:rPr>
        <w:t xml:space="preserve"> de la résistance (« contagion »)</w:t>
      </w:r>
    </w:p>
    <w:p w:rsidR="00ED6BF7" w:rsidRPr="00F7399E" w:rsidRDefault="00ED6BF7" w:rsidP="00ED6BF7">
      <w:pPr>
        <w:pStyle w:val="Paragraphedeliste"/>
        <w:widowControl w:val="0"/>
        <w:spacing w:line="240" w:lineRule="auto"/>
        <w:ind w:left="1440"/>
        <w:rPr>
          <w:sz w:val="20"/>
          <w:szCs w:val="20"/>
        </w:rPr>
      </w:pPr>
    </w:p>
    <w:p w:rsidR="00F7399E" w:rsidRPr="00F7399E" w:rsidRDefault="00F7399E" w:rsidP="00D833A3">
      <w:pPr>
        <w:pStyle w:val="Paragraphedeliste"/>
        <w:widowControl w:val="0"/>
        <w:numPr>
          <w:ilvl w:val="0"/>
          <w:numId w:val="23"/>
        </w:numPr>
        <w:spacing w:line="240" w:lineRule="auto"/>
        <w:rPr>
          <w:sz w:val="20"/>
          <w:szCs w:val="20"/>
        </w:rPr>
      </w:pPr>
      <w:proofErr w:type="spellStart"/>
      <w:r w:rsidRPr="00F7399E">
        <w:rPr>
          <w:i/>
        </w:rPr>
        <w:t>Staphylococcus</w:t>
      </w:r>
      <w:proofErr w:type="spellEnd"/>
      <w:r w:rsidRPr="00F7399E">
        <w:rPr>
          <w:i/>
        </w:rPr>
        <w:t xml:space="preserve"> aureus</w:t>
      </w:r>
      <w:r w:rsidRPr="00F7399E">
        <w:t xml:space="preserve"> de sensibilité diminuée aux </w:t>
      </w:r>
      <w:proofErr w:type="spellStart"/>
      <w:r w:rsidRPr="00F7399E">
        <w:t>glycopeptides</w:t>
      </w:r>
      <w:proofErr w:type="spellEnd"/>
      <w:r w:rsidRPr="00F7399E">
        <w:t xml:space="preserve"> : </w:t>
      </w:r>
      <w:r w:rsidRPr="00D833A3">
        <w:rPr>
          <w:b/>
          <w:u w:val="single"/>
        </w:rPr>
        <w:t>GISA</w:t>
      </w:r>
      <w:r w:rsidRPr="00F7399E">
        <w:t xml:space="preserve"> (ou </w:t>
      </w:r>
      <w:r w:rsidRPr="00D833A3">
        <w:rPr>
          <w:b/>
          <w:u w:val="single"/>
        </w:rPr>
        <w:t>VISA</w:t>
      </w:r>
      <w:r w:rsidRPr="00F7399E">
        <w:t xml:space="preserve"> pour </w:t>
      </w:r>
      <w:proofErr w:type="spellStart"/>
      <w:r w:rsidRPr="00F7399E">
        <w:t>Vancomycine</w:t>
      </w:r>
      <w:proofErr w:type="spellEnd"/>
      <w:r w:rsidRPr="00F7399E">
        <w:t xml:space="preserve">) </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Risque d’impasse thérapeutique</w:t>
      </w:r>
    </w:p>
    <w:p w:rsidR="00ED6BF7" w:rsidRPr="00F7399E" w:rsidRDefault="00ED6BF7" w:rsidP="00ED6BF7">
      <w:pPr>
        <w:pStyle w:val="Paragraphedeliste"/>
        <w:widowControl w:val="0"/>
        <w:spacing w:line="240" w:lineRule="auto"/>
        <w:ind w:left="1440"/>
        <w:rPr>
          <w:sz w:val="20"/>
          <w:szCs w:val="20"/>
        </w:rPr>
      </w:pPr>
    </w:p>
    <w:p w:rsidR="00F7399E" w:rsidRPr="00F7399E" w:rsidRDefault="00F7399E" w:rsidP="00D833A3">
      <w:pPr>
        <w:pStyle w:val="Paragraphedeliste"/>
        <w:widowControl w:val="0"/>
        <w:numPr>
          <w:ilvl w:val="0"/>
          <w:numId w:val="24"/>
        </w:numPr>
        <w:spacing w:line="240" w:lineRule="auto"/>
        <w:rPr>
          <w:sz w:val="20"/>
          <w:szCs w:val="20"/>
        </w:rPr>
      </w:pPr>
      <w:r w:rsidRPr="00F7399E">
        <w:t xml:space="preserve">Entérocoques résistants à la </w:t>
      </w:r>
      <w:proofErr w:type="spellStart"/>
      <w:r w:rsidRPr="00F7399E">
        <w:t>Vancomycine</w:t>
      </w:r>
      <w:proofErr w:type="spellEnd"/>
      <w:r w:rsidRPr="00F7399E">
        <w:t xml:space="preserve"> : </w:t>
      </w:r>
      <w:r w:rsidRPr="00D833A3">
        <w:rPr>
          <w:b/>
          <w:u w:val="single"/>
        </w:rPr>
        <w:t>ERV</w:t>
      </w:r>
      <w:r w:rsidRPr="00F7399E">
        <w:t xml:space="preserve"> (ou </w:t>
      </w:r>
      <w:r w:rsidRPr="00D833A3">
        <w:rPr>
          <w:b/>
          <w:u w:val="single"/>
        </w:rPr>
        <w:t>ERG</w:t>
      </w:r>
      <w:r w:rsidRPr="00F7399E">
        <w:t xml:space="preserve"> pour </w:t>
      </w:r>
      <w:proofErr w:type="spellStart"/>
      <w:r w:rsidRPr="00F7399E">
        <w:t>Glycopeptides</w:t>
      </w:r>
      <w:proofErr w:type="spellEnd"/>
      <w:r w:rsidRPr="00F7399E">
        <w:t>)</w:t>
      </w:r>
    </w:p>
    <w:p w:rsidR="00F7399E" w:rsidRDefault="00F7399E" w:rsidP="00F7399E">
      <w:pPr>
        <w:pStyle w:val="Paragraphedeliste"/>
        <w:widowControl w:val="0"/>
        <w:numPr>
          <w:ilvl w:val="1"/>
          <w:numId w:val="17"/>
        </w:numPr>
        <w:spacing w:line="240" w:lineRule="auto"/>
        <w:rPr>
          <w:sz w:val="20"/>
          <w:szCs w:val="20"/>
        </w:rPr>
      </w:pPr>
      <w:r w:rsidRPr="00F7399E">
        <w:rPr>
          <w:sz w:val="20"/>
          <w:szCs w:val="20"/>
        </w:rPr>
        <w:t>Risque d’impasse thérapeutique</w:t>
      </w:r>
    </w:p>
    <w:p w:rsidR="00F7399E" w:rsidRPr="00F7399E" w:rsidRDefault="00F7399E" w:rsidP="00F7399E">
      <w:pPr>
        <w:pStyle w:val="Paragraphedeliste"/>
        <w:widowControl w:val="0"/>
        <w:numPr>
          <w:ilvl w:val="1"/>
          <w:numId w:val="17"/>
        </w:numPr>
        <w:spacing w:line="240" w:lineRule="auto"/>
        <w:rPr>
          <w:sz w:val="20"/>
          <w:szCs w:val="20"/>
        </w:rPr>
      </w:pPr>
      <w:r w:rsidRPr="00F7399E">
        <w:rPr>
          <w:sz w:val="20"/>
          <w:szCs w:val="20"/>
        </w:rPr>
        <w:t xml:space="preserve">Diffusion </w:t>
      </w:r>
      <w:proofErr w:type="spellStart"/>
      <w:r w:rsidRPr="00F7399E">
        <w:rPr>
          <w:sz w:val="20"/>
          <w:szCs w:val="20"/>
        </w:rPr>
        <w:t>plasmidique</w:t>
      </w:r>
      <w:proofErr w:type="spellEnd"/>
      <w:r w:rsidRPr="00F7399E">
        <w:rPr>
          <w:sz w:val="20"/>
          <w:szCs w:val="20"/>
        </w:rPr>
        <w:t xml:space="preserve"> de la résistance (« contagion »)</w:t>
      </w:r>
    </w:p>
    <w:p w:rsidR="00F7399E" w:rsidRPr="00D833A3" w:rsidRDefault="00F7399E" w:rsidP="00F7399E">
      <w:pPr>
        <w:rPr>
          <w:rFonts w:asciiTheme="minorHAnsi" w:hAnsiTheme="minorHAnsi"/>
          <w:sz w:val="28"/>
          <w:szCs w:val="28"/>
        </w:rPr>
      </w:pPr>
      <w:r w:rsidRPr="00D833A3">
        <w:rPr>
          <w:rFonts w:asciiTheme="minorHAnsi" w:hAnsiTheme="minorHAnsi"/>
          <w:sz w:val="28"/>
          <w:szCs w:val="28"/>
        </w:rPr>
        <w:t>Parmi ces BMR, seuls les SARM et les BLSE font l’objet d’une enquête annuelle nationale de prévalence.</w:t>
      </w:r>
    </w:p>
    <w:p w:rsidR="00413C9B" w:rsidRDefault="00413C9B" w:rsidP="006832DB">
      <w:pPr>
        <w:spacing w:after="200" w:line="276" w:lineRule="auto"/>
        <w:jc w:val="both"/>
        <w:rPr>
          <w:rFonts w:asciiTheme="minorHAnsi" w:hAnsiTheme="minorHAnsi"/>
          <w:sz w:val="22"/>
          <w:szCs w:val="22"/>
        </w:rPr>
      </w:pPr>
    </w:p>
    <w:p w:rsidR="00ED6BF7" w:rsidRDefault="00ED6BF7" w:rsidP="00ED6BF7">
      <w:pPr>
        <w:spacing w:after="200" w:line="276" w:lineRule="auto"/>
        <w:jc w:val="both"/>
        <w:rPr>
          <w:rFonts w:asciiTheme="minorHAnsi" w:hAnsiTheme="minorHAnsi"/>
          <w:b/>
          <w:sz w:val="28"/>
          <w:szCs w:val="28"/>
          <w:highlight w:val="yellow"/>
        </w:rPr>
      </w:pPr>
      <w:r w:rsidRPr="00413C9B">
        <w:rPr>
          <w:rFonts w:asciiTheme="minorHAnsi" w:hAnsiTheme="minorHAnsi"/>
          <w:b/>
          <w:sz w:val="28"/>
          <w:szCs w:val="28"/>
          <w:highlight w:val="yellow"/>
        </w:rPr>
        <w:t xml:space="preserve">Liste des </w:t>
      </w:r>
      <w:r>
        <w:rPr>
          <w:rFonts w:asciiTheme="minorHAnsi" w:hAnsiTheme="minorHAnsi"/>
          <w:b/>
          <w:sz w:val="28"/>
          <w:szCs w:val="28"/>
          <w:highlight w:val="yellow"/>
        </w:rPr>
        <w:t>bactéries dont la diffusion est à surveiller et à maîtriser</w:t>
      </w:r>
    </w:p>
    <w:p w:rsidR="00ED6BF7" w:rsidRPr="00D833A3" w:rsidRDefault="00ED6BF7" w:rsidP="00D833A3">
      <w:pPr>
        <w:pStyle w:val="Paragraphedeliste"/>
        <w:numPr>
          <w:ilvl w:val="0"/>
          <w:numId w:val="29"/>
        </w:numPr>
        <w:rPr>
          <w:sz w:val="28"/>
          <w:szCs w:val="28"/>
        </w:rPr>
      </w:pPr>
      <w:r w:rsidRPr="00D833A3">
        <w:rPr>
          <w:sz w:val="28"/>
          <w:szCs w:val="28"/>
        </w:rPr>
        <w:t>Bactéries sur lesquelles existent des recommandations nationales</w:t>
      </w:r>
      <w:r w:rsidR="00D833A3" w:rsidRPr="00D833A3">
        <w:rPr>
          <w:sz w:val="28"/>
          <w:szCs w:val="28"/>
        </w:rPr>
        <w:t> :</w:t>
      </w:r>
    </w:p>
    <w:p w:rsidR="00D833A3" w:rsidRPr="00D833A3" w:rsidRDefault="00D833A3" w:rsidP="00D833A3">
      <w:pPr>
        <w:pStyle w:val="Paragraphedeliste"/>
        <w:widowControl w:val="0"/>
        <w:spacing w:line="240" w:lineRule="auto"/>
        <w:ind w:left="360"/>
      </w:pPr>
    </w:p>
    <w:p w:rsidR="00ED6BF7" w:rsidRPr="00ED6BF7" w:rsidRDefault="00ED6BF7" w:rsidP="00D833A3">
      <w:pPr>
        <w:pStyle w:val="Paragraphedeliste"/>
        <w:widowControl w:val="0"/>
        <w:numPr>
          <w:ilvl w:val="0"/>
          <w:numId w:val="25"/>
        </w:numPr>
        <w:spacing w:line="240" w:lineRule="auto"/>
      </w:pPr>
      <w:proofErr w:type="spellStart"/>
      <w:r w:rsidRPr="00ED6BF7">
        <w:rPr>
          <w:i/>
        </w:rPr>
        <w:t>Clostridium</w:t>
      </w:r>
      <w:proofErr w:type="spellEnd"/>
      <w:r w:rsidRPr="00ED6BF7">
        <w:rPr>
          <w:i/>
        </w:rPr>
        <w:t xml:space="preserve"> difficile</w:t>
      </w:r>
    </w:p>
    <w:p w:rsidR="00ED6BF7" w:rsidRDefault="00ED6BF7" w:rsidP="00ED6BF7">
      <w:pPr>
        <w:pStyle w:val="Paragraphedeliste"/>
        <w:widowControl w:val="0"/>
        <w:numPr>
          <w:ilvl w:val="1"/>
          <w:numId w:val="19"/>
        </w:numPr>
        <w:spacing w:line="240" w:lineRule="auto"/>
      </w:pPr>
      <w:r w:rsidRPr="00ED6BF7">
        <w:t>Diffusion de la bactérie (« contagion »)</w:t>
      </w:r>
    </w:p>
    <w:p w:rsidR="00ED6BF7" w:rsidRDefault="00ED6BF7" w:rsidP="00ED6BF7">
      <w:pPr>
        <w:pStyle w:val="Paragraphedeliste"/>
        <w:widowControl w:val="0"/>
        <w:numPr>
          <w:ilvl w:val="1"/>
          <w:numId w:val="19"/>
        </w:numPr>
        <w:spacing w:line="240" w:lineRule="auto"/>
      </w:pPr>
      <w:r w:rsidRPr="00ED6BF7">
        <w:t>Gravité de l’infection</w:t>
      </w:r>
    </w:p>
    <w:p w:rsidR="00ED6BF7" w:rsidRDefault="00ED6BF7" w:rsidP="00ED6BF7">
      <w:pPr>
        <w:pStyle w:val="Paragraphedeliste"/>
        <w:widowControl w:val="0"/>
        <w:numPr>
          <w:ilvl w:val="1"/>
          <w:numId w:val="19"/>
        </w:numPr>
        <w:spacing w:line="240" w:lineRule="auto"/>
      </w:pPr>
      <w:r w:rsidRPr="00ED6BF7">
        <w:t>A noter que ce germe n’est cependant pas « multi-résistant » aux ATB</w:t>
      </w:r>
    </w:p>
    <w:p w:rsidR="00D833A3" w:rsidRPr="00ED6BF7" w:rsidRDefault="00D833A3" w:rsidP="00D833A3">
      <w:pPr>
        <w:pStyle w:val="Paragraphedeliste"/>
        <w:widowControl w:val="0"/>
        <w:spacing w:line="240" w:lineRule="auto"/>
        <w:ind w:left="1440"/>
      </w:pPr>
    </w:p>
    <w:p w:rsidR="00ED6BF7" w:rsidRPr="00D833A3" w:rsidRDefault="00ED6BF7" w:rsidP="00D833A3">
      <w:pPr>
        <w:pStyle w:val="Paragraphedeliste"/>
        <w:numPr>
          <w:ilvl w:val="0"/>
          <w:numId w:val="30"/>
        </w:numPr>
        <w:jc w:val="both"/>
        <w:rPr>
          <w:sz w:val="28"/>
          <w:szCs w:val="28"/>
        </w:rPr>
      </w:pPr>
      <w:r w:rsidRPr="00D833A3">
        <w:rPr>
          <w:sz w:val="28"/>
          <w:szCs w:val="28"/>
        </w:rPr>
        <w:t>Bactéries sur lesquelles il n’existe pas de consensus ni recommandations : elles sont surveillées et identifiées par votre laboratoire pour les établissements locaux</w:t>
      </w:r>
    </w:p>
    <w:p w:rsidR="00ED6BF7" w:rsidRPr="00D833A3" w:rsidRDefault="00ED6BF7" w:rsidP="00ED6BF7">
      <w:pPr>
        <w:rPr>
          <w:rFonts w:asciiTheme="minorHAnsi" w:hAnsiTheme="minorHAnsi"/>
          <w:b/>
          <w:sz w:val="22"/>
          <w:szCs w:val="22"/>
        </w:rPr>
      </w:pPr>
    </w:p>
    <w:p w:rsidR="00ED6BF7" w:rsidRDefault="00ED6BF7" w:rsidP="00D833A3">
      <w:pPr>
        <w:pStyle w:val="Paragraphedeliste"/>
        <w:widowControl w:val="0"/>
        <w:numPr>
          <w:ilvl w:val="0"/>
          <w:numId w:val="26"/>
        </w:numPr>
        <w:spacing w:line="240" w:lineRule="auto"/>
      </w:pPr>
      <w:r w:rsidRPr="00ED6BF7">
        <w:t xml:space="preserve">Entérobactéries sécrétrices de </w:t>
      </w:r>
      <w:proofErr w:type="spellStart"/>
      <w:r w:rsidRPr="00ED6BF7">
        <w:t>céphalosporinase</w:t>
      </w:r>
      <w:proofErr w:type="spellEnd"/>
      <w:r w:rsidRPr="00ED6BF7">
        <w:t xml:space="preserve"> </w:t>
      </w:r>
      <w:proofErr w:type="spellStart"/>
      <w:r w:rsidRPr="00ED6BF7">
        <w:t>déréprimée</w:t>
      </w:r>
      <w:proofErr w:type="spellEnd"/>
    </w:p>
    <w:p w:rsidR="00ED6BF7" w:rsidRDefault="00ED6BF7" w:rsidP="00ED6BF7">
      <w:pPr>
        <w:pStyle w:val="Paragraphedeliste"/>
        <w:widowControl w:val="0"/>
        <w:numPr>
          <w:ilvl w:val="1"/>
          <w:numId w:val="19"/>
        </w:numPr>
        <w:spacing w:line="240" w:lineRule="auto"/>
      </w:pPr>
      <w:r w:rsidRPr="00ED6BF7">
        <w:t>Risque d’impasse thérapeutique</w:t>
      </w:r>
    </w:p>
    <w:p w:rsidR="00ED6BF7" w:rsidRPr="00ED6BF7" w:rsidRDefault="00ED6BF7" w:rsidP="00ED6BF7">
      <w:pPr>
        <w:pStyle w:val="Paragraphedeliste"/>
        <w:widowControl w:val="0"/>
        <w:numPr>
          <w:ilvl w:val="1"/>
          <w:numId w:val="19"/>
        </w:numPr>
        <w:spacing w:line="240" w:lineRule="auto"/>
      </w:pPr>
      <w:r w:rsidRPr="00ED6BF7">
        <w:t>Témoin d’une écologie locale et de la pression de sélection des ATB</w:t>
      </w:r>
    </w:p>
    <w:p w:rsidR="00ED6BF7" w:rsidRPr="00ED6BF7" w:rsidRDefault="00ED6BF7" w:rsidP="00ED6BF7">
      <w:pPr>
        <w:pStyle w:val="Paragraphedeliste"/>
        <w:widowControl w:val="0"/>
        <w:spacing w:line="240" w:lineRule="auto"/>
      </w:pPr>
    </w:p>
    <w:p w:rsidR="00ED6BF7" w:rsidRPr="00ED6BF7" w:rsidRDefault="00ED6BF7" w:rsidP="00D833A3">
      <w:pPr>
        <w:pStyle w:val="Paragraphedeliste"/>
        <w:numPr>
          <w:ilvl w:val="0"/>
          <w:numId w:val="27"/>
        </w:numPr>
      </w:pPr>
      <w:proofErr w:type="spellStart"/>
      <w:r w:rsidRPr="00ED6BF7">
        <w:rPr>
          <w:i/>
        </w:rPr>
        <w:t>Acinetobacter</w:t>
      </w:r>
      <w:proofErr w:type="spellEnd"/>
      <w:r w:rsidRPr="00ED6BF7">
        <w:rPr>
          <w:i/>
        </w:rPr>
        <w:t xml:space="preserve"> </w:t>
      </w:r>
      <w:proofErr w:type="spellStart"/>
      <w:r w:rsidRPr="00ED6BF7">
        <w:rPr>
          <w:i/>
        </w:rPr>
        <w:t>baumanii</w:t>
      </w:r>
      <w:proofErr w:type="spellEnd"/>
    </w:p>
    <w:p w:rsidR="00ED6BF7" w:rsidRDefault="00ED6BF7" w:rsidP="00ED6BF7">
      <w:pPr>
        <w:pStyle w:val="Paragraphedeliste"/>
        <w:numPr>
          <w:ilvl w:val="1"/>
          <w:numId w:val="19"/>
        </w:numPr>
      </w:pPr>
      <w:r w:rsidRPr="00ED6BF7">
        <w:t>Bactérie susceptible de devenir rapidement résistante aux ATB</w:t>
      </w:r>
    </w:p>
    <w:p w:rsidR="00ED6BF7" w:rsidRPr="00ED6BF7" w:rsidRDefault="00ED6BF7" w:rsidP="00ED6BF7">
      <w:pPr>
        <w:pStyle w:val="Paragraphedeliste"/>
        <w:numPr>
          <w:ilvl w:val="1"/>
          <w:numId w:val="19"/>
        </w:numPr>
      </w:pPr>
      <w:r w:rsidRPr="00ED6BF7">
        <w:t>Témoin d’une écologie locale</w:t>
      </w:r>
    </w:p>
    <w:p w:rsidR="00ED6BF7" w:rsidRPr="00ED6BF7" w:rsidRDefault="00ED6BF7" w:rsidP="00ED6BF7">
      <w:pPr>
        <w:pStyle w:val="Paragraphedeliste"/>
      </w:pPr>
    </w:p>
    <w:p w:rsidR="00ED6BF7" w:rsidRDefault="00ED6BF7" w:rsidP="00D833A3">
      <w:pPr>
        <w:pStyle w:val="Paragraphedeliste"/>
        <w:numPr>
          <w:ilvl w:val="0"/>
          <w:numId w:val="28"/>
        </w:numPr>
      </w:pPr>
      <w:proofErr w:type="spellStart"/>
      <w:r w:rsidRPr="00ED6BF7">
        <w:rPr>
          <w:i/>
        </w:rPr>
        <w:t>Pseudomonas</w:t>
      </w:r>
      <w:proofErr w:type="spellEnd"/>
      <w:r w:rsidRPr="00ED6BF7">
        <w:rPr>
          <w:i/>
        </w:rPr>
        <w:t xml:space="preserve"> </w:t>
      </w:r>
      <w:proofErr w:type="spellStart"/>
      <w:r w:rsidRPr="00ED6BF7">
        <w:rPr>
          <w:i/>
        </w:rPr>
        <w:t>aeruginosa</w:t>
      </w:r>
      <w:proofErr w:type="spellEnd"/>
      <w:r w:rsidRPr="00ED6BF7">
        <w:t xml:space="preserve"> résistant à la </w:t>
      </w:r>
      <w:proofErr w:type="spellStart"/>
      <w:r w:rsidRPr="00ED6BF7">
        <w:t>Ceftazidime</w:t>
      </w:r>
      <w:proofErr w:type="spellEnd"/>
      <w:r w:rsidRPr="00ED6BF7">
        <w:t xml:space="preserve"> et/ou aux </w:t>
      </w:r>
      <w:proofErr w:type="spellStart"/>
      <w:r w:rsidRPr="00ED6BF7">
        <w:t>carbapénèmes</w:t>
      </w:r>
      <w:proofErr w:type="spellEnd"/>
    </w:p>
    <w:p w:rsidR="00ED6BF7" w:rsidRPr="00ED6BF7" w:rsidRDefault="00ED6BF7" w:rsidP="00ED6BF7">
      <w:pPr>
        <w:pStyle w:val="Paragraphedeliste"/>
        <w:numPr>
          <w:ilvl w:val="1"/>
          <w:numId w:val="19"/>
        </w:numPr>
      </w:pPr>
      <w:r w:rsidRPr="00ED6BF7">
        <w:t>Témoin d’une écologie locale</w:t>
      </w:r>
    </w:p>
    <w:p w:rsidR="00ED6BF7" w:rsidRDefault="00ED6BF7" w:rsidP="00ED6BF7">
      <w:pPr>
        <w:pStyle w:val="Paragraphedeliste"/>
        <w:rPr>
          <w:sz w:val="20"/>
          <w:szCs w:val="20"/>
        </w:rPr>
      </w:pPr>
    </w:p>
    <w:p w:rsidR="00413C9B" w:rsidRPr="00413C9B" w:rsidRDefault="00413C9B" w:rsidP="006832DB">
      <w:pPr>
        <w:spacing w:after="200" w:line="276" w:lineRule="auto"/>
        <w:jc w:val="both"/>
        <w:rPr>
          <w:rFonts w:asciiTheme="minorHAnsi" w:hAnsiTheme="minorHAnsi"/>
          <w:b/>
          <w:sz w:val="28"/>
          <w:szCs w:val="28"/>
        </w:rPr>
      </w:pPr>
      <w:r w:rsidRPr="00413C9B">
        <w:rPr>
          <w:rFonts w:asciiTheme="minorHAnsi" w:hAnsiTheme="minorHAnsi"/>
          <w:b/>
          <w:sz w:val="28"/>
          <w:szCs w:val="28"/>
          <w:highlight w:val="yellow"/>
        </w:rPr>
        <w:t>Surveillance des BMR</w:t>
      </w:r>
    </w:p>
    <w:p w:rsidR="00413C9B" w:rsidRPr="00DF11AB" w:rsidRDefault="00413C9B" w:rsidP="006832DB">
      <w:pPr>
        <w:spacing w:after="200" w:line="276" w:lineRule="auto"/>
        <w:jc w:val="both"/>
        <w:rPr>
          <w:rFonts w:asciiTheme="minorHAnsi" w:hAnsiTheme="minorHAnsi"/>
          <w:b/>
          <w:color w:val="FF0000"/>
          <w:sz w:val="28"/>
          <w:szCs w:val="28"/>
        </w:rPr>
      </w:pPr>
      <w:r w:rsidRPr="00DF11AB">
        <w:rPr>
          <w:rFonts w:asciiTheme="minorHAnsi" w:hAnsiTheme="minorHAnsi"/>
          <w:b/>
          <w:color w:val="FF0000"/>
          <w:sz w:val="28"/>
          <w:szCs w:val="28"/>
        </w:rPr>
        <w:t>Au niveau du laboratoire</w:t>
      </w:r>
    </w:p>
    <w:p w:rsidR="004C347D" w:rsidRDefault="004C347D" w:rsidP="00963A7A">
      <w:pPr>
        <w:pStyle w:val="Paragraphedeliste"/>
        <w:numPr>
          <w:ilvl w:val="0"/>
          <w:numId w:val="15"/>
        </w:numPr>
        <w:jc w:val="both"/>
        <w:rPr>
          <w:b/>
        </w:rPr>
      </w:pPr>
      <w:r w:rsidRPr="00963A7A">
        <w:rPr>
          <w:b/>
        </w:rPr>
        <w:t>Surveillance des BMR</w:t>
      </w:r>
    </w:p>
    <w:p w:rsidR="00963A7A" w:rsidRPr="00963A7A" w:rsidRDefault="00963A7A" w:rsidP="00963A7A">
      <w:pPr>
        <w:pStyle w:val="Paragraphedeliste"/>
        <w:ind w:left="360"/>
        <w:jc w:val="both"/>
        <w:rPr>
          <w:b/>
        </w:rPr>
      </w:pPr>
    </w:p>
    <w:p w:rsidR="00963A7A" w:rsidRDefault="00413C9B" w:rsidP="004C347D">
      <w:pPr>
        <w:pStyle w:val="Paragraphedeliste"/>
        <w:numPr>
          <w:ilvl w:val="0"/>
          <w:numId w:val="10"/>
        </w:numPr>
        <w:jc w:val="both"/>
      </w:pPr>
      <w:r w:rsidRPr="004C347D">
        <w:t xml:space="preserve">Les BMR sont surveillées </w:t>
      </w:r>
      <w:r w:rsidR="009E5888" w:rsidRPr="004C347D">
        <w:t>par le laboratoire d’analyses médicales qui communique avec les médecins prescripteurs</w:t>
      </w:r>
      <w:r w:rsidR="00963A7A">
        <w:t xml:space="preserve"> et le pharmacien</w:t>
      </w:r>
    </w:p>
    <w:p w:rsidR="009E5888" w:rsidRPr="004C347D" w:rsidRDefault="009E5888" w:rsidP="004C347D">
      <w:pPr>
        <w:pStyle w:val="Paragraphedeliste"/>
        <w:numPr>
          <w:ilvl w:val="0"/>
          <w:numId w:val="10"/>
        </w:numPr>
        <w:jc w:val="both"/>
      </w:pPr>
      <w:r w:rsidRPr="004C347D">
        <w:t>Chaque compte-rendu indiqu</w:t>
      </w:r>
      <w:r w:rsidR="00963A7A">
        <w:t>e</w:t>
      </w:r>
      <w:r w:rsidRPr="004C347D">
        <w:t xml:space="preserve"> le mécanisme de résistance lorsqu’une BMR est identifiée. Un isolement septique (ou mise en place de précautions complémentaires) est alors conseillé sur cette indication.</w:t>
      </w:r>
    </w:p>
    <w:p w:rsidR="009E5888" w:rsidRPr="004C347D" w:rsidRDefault="009E5888" w:rsidP="004C347D">
      <w:pPr>
        <w:pStyle w:val="Paragraphedeliste"/>
        <w:numPr>
          <w:ilvl w:val="0"/>
          <w:numId w:val="10"/>
        </w:numPr>
        <w:jc w:val="both"/>
      </w:pPr>
      <w:r w:rsidRPr="004C347D">
        <w:t>Le pharmacien reçoit par écrit systématiquement un duplicata de ce compte-rendu avec les mêmes indications.</w:t>
      </w:r>
      <w:r w:rsidR="00963A7A">
        <w:t xml:space="preserve"> </w:t>
      </w:r>
    </w:p>
    <w:p w:rsidR="00407436" w:rsidRPr="00407436" w:rsidRDefault="00455411" w:rsidP="004C347D">
      <w:pPr>
        <w:pStyle w:val="Paragraphedeliste"/>
        <w:numPr>
          <w:ilvl w:val="0"/>
          <w:numId w:val="10"/>
        </w:numPr>
        <w:jc w:val="both"/>
        <w:rPr>
          <w:sz w:val="28"/>
          <w:szCs w:val="28"/>
        </w:rPr>
      </w:pPr>
      <w:r w:rsidRPr="005F5BAC">
        <w:t>Il est envisagé qu’u</w:t>
      </w:r>
      <w:r w:rsidR="009E5888" w:rsidRPr="005F5BAC">
        <w:t>n récapitulatif mensuel indiquant les noms des patients, le site de</w:t>
      </w:r>
      <w:r w:rsidR="009E5888" w:rsidRPr="00407436">
        <w:t xml:space="preserve"> </w:t>
      </w:r>
      <w:r w:rsidR="009E5888" w:rsidRPr="004155C0">
        <w:t>prélèvements, les germes retrouvés, leur statut de BMR ou non et les antibiotiques testé</w:t>
      </w:r>
      <w:r w:rsidR="00963A7A" w:rsidRPr="004155C0">
        <w:t>s</w:t>
      </w:r>
      <w:r w:rsidR="009E5888" w:rsidRPr="004155C0">
        <w:t xml:space="preserve"> </w:t>
      </w:r>
      <w:r w:rsidRPr="004155C0">
        <w:t>soit</w:t>
      </w:r>
      <w:r w:rsidR="009E5888" w:rsidRPr="00407436">
        <w:rPr>
          <w:color w:val="FF0000"/>
        </w:rPr>
        <w:t xml:space="preserve"> </w:t>
      </w:r>
      <w:r w:rsidR="009E5888" w:rsidRPr="00407436">
        <w:t xml:space="preserve">envoyé à la pharmacie, par écrit. </w:t>
      </w:r>
    </w:p>
    <w:p w:rsidR="00B2137A" w:rsidRPr="005F5BAC" w:rsidRDefault="00B2137A" w:rsidP="004C347D">
      <w:pPr>
        <w:pStyle w:val="Paragraphedeliste"/>
        <w:numPr>
          <w:ilvl w:val="0"/>
          <w:numId w:val="10"/>
        </w:numPr>
        <w:jc w:val="both"/>
      </w:pPr>
      <w:r w:rsidRPr="005F5BAC">
        <w:lastRenderedPageBreak/>
        <w:t>Il concerne</w:t>
      </w:r>
      <w:r w:rsidR="00407436" w:rsidRPr="005F5BAC">
        <w:t>ra</w:t>
      </w:r>
      <w:r w:rsidRPr="005F5BAC">
        <w:t> :</w:t>
      </w:r>
    </w:p>
    <w:p w:rsidR="004C347D" w:rsidRDefault="004C347D" w:rsidP="004C347D">
      <w:pPr>
        <w:pStyle w:val="Paragraphedeliste"/>
        <w:ind w:left="360"/>
        <w:jc w:val="both"/>
      </w:pPr>
    </w:p>
    <w:p w:rsidR="00B2137A" w:rsidRDefault="00B2137A" w:rsidP="00B2137A">
      <w:pPr>
        <w:pStyle w:val="Paragraphedeliste"/>
        <w:numPr>
          <w:ilvl w:val="0"/>
          <w:numId w:val="9"/>
        </w:numPr>
        <w:jc w:val="both"/>
      </w:pPr>
      <w:r w:rsidRPr="00B2137A">
        <w:t>Liste de tous les germes</w:t>
      </w:r>
    </w:p>
    <w:p w:rsidR="00B2137A" w:rsidRDefault="00B2137A" w:rsidP="00B2137A">
      <w:pPr>
        <w:pStyle w:val="Paragraphedeliste"/>
        <w:numPr>
          <w:ilvl w:val="0"/>
          <w:numId w:val="9"/>
        </w:numPr>
        <w:jc w:val="both"/>
      </w:pPr>
      <w:r>
        <w:t>Liste des hémocultures positives</w:t>
      </w:r>
    </w:p>
    <w:p w:rsidR="00B2137A" w:rsidRDefault="00B2137A" w:rsidP="00B2137A">
      <w:pPr>
        <w:pStyle w:val="Paragraphedeliste"/>
        <w:numPr>
          <w:ilvl w:val="0"/>
          <w:numId w:val="9"/>
        </w:numPr>
        <w:jc w:val="both"/>
      </w:pPr>
      <w:r>
        <w:t>Liste des SARM</w:t>
      </w:r>
    </w:p>
    <w:p w:rsidR="00B2137A" w:rsidRDefault="00B2137A" w:rsidP="00B2137A">
      <w:pPr>
        <w:pStyle w:val="Paragraphedeliste"/>
        <w:numPr>
          <w:ilvl w:val="0"/>
          <w:numId w:val="9"/>
        </w:numPr>
        <w:jc w:val="both"/>
      </w:pPr>
      <w:r>
        <w:t>Liste des CNH</w:t>
      </w:r>
    </w:p>
    <w:p w:rsidR="00B2137A" w:rsidRDefault="00B2137A" w:rsidP="00B2137A">
      <w:pPr>
        <w:pStyle w:val="Paragraphedeliste"/>
        <w:numPr>
          <w:ilvl w:val="0"/>
          <w:numId w:val="9"/>
        </w:numPr>
        <w:jc w:val="both"/>
      </w:pPr>
      <w:r>
        <w:t>Liste des BSLE</w:t>
      </w:r>
    </w:p>
    <w:p w:rsidR="00B2137A" w:rsidRDefault="00B2137A" w:rsidP="00B2137A">
      <w:pPr>
        <w:pStyle w:val="Paragraphedeliste"/>
        <w:numPr>
          <w:ilvl w:val="0"/>
          <w:numId w:val="9"/>
        </w:numPr>
        <w:jc w:val="both"/>
      </w:pPr>
      <w:r>
        <w:t xml:space="preserve">Liste des pyocyaniques </w:t>
      </w:r>
      <w:proofErr w:type="spellStart"/>
      <w:r>
        <w:t>ceftazi</w:t>
      </w:r>
      <w:r w:rsidR="0064476E">
        <w:t>di</w:t>
      </w:r>
      <w:r>
        <w:t>me</w:t>
      </w:r>
      <w:proofErr w:type="spellEnd"/>
      <w:r>
        <w:t>-</w:t>
      </w:r>
      <w:proofErr w:type="spellStart"/>
      <w:r>
        <w:t>résitants</w:t>
      </w:r>
      <w:proofErr w:type="spellEnd"/>
    </w:p>
    <w:p w:rsidR="00963A7A" w:rsidRPr="00B2137A" w:rsidRDefault="00963A7A" w:rsidP="00963A7A">
      <w:pPr>
        <w:pStyle w:val="Paragraphedeliste"/>
        <w:jc w:val="both"/>
      </w:pPr>
    </w:p>
    <w:p w:rsidR="004C347D" w:rsidRPr="00963A7A" w:rsidRDefault="004C347D" w:rsidP="00963A7A">
      <w:pPr>
        <w:pStyle w:val="Paragraphedeliste"/>
        <w:numPr>
          <w:ilvl w:val="0"/>
          <w:numId w:val="16"/>
        </w:numPr>
        <w:jc w:val="both"/>
        <w:rPr>
          <w:b/>
        </w:rPr>
      </w:pPr>
      <w:r w:rsidRPr="00963A7A">
        <w:rPr>
          <w:b/>
        </w:rPr>
        <w:t>Le biologiste participe :</w:t>
      </w:r>
    </w:p>
    <w:p w:rsidR="00963A7A" w:rsidRPr="00963A7A" w:rsidRDefault="00963A7A" w:rsidP="00963A7A">
      <w:pPr>
        <w:pStyle w:val="Paragraphedeliste"/>
        <w:jc w:val="both"/>
      </w:pPr>
    </w:p>
    <w:p w:rsidR="00413C9B" w:rsidRPr="004C347D" w:rsidRDefault="004C347D" w:rsidP="004C347D">
      <w:pPr>
        <w:pStyle w:val="Paragraphedeliste"/>
        <w:numPr>
          <w:ilvl w:val="0"/>
          <w:numId w:val="11"/>
        </w:numPr>
        <w:jc w:val="both"/>
      </w:pPr>
      <w:r w:rsidRPr="004C347D">
        <w:t>aux réunions et initiatives du RHC-ARLIN</w:t>
      </w:r>
    </w:p>
    <w:p w:rsidR="004C347D" w:rsidRDefault="004C347D" w:rsidP="004C347D">
      <w:pPr>
        <w:pStyle w:val="Paragraphedeliste"/>
        <w:numPr>
          <w:ilvl w:val="0"/>
          <w:numId w:val="11"/>
        </w:numPr>
        <w:jc w:val="both"/>
      </w:pPr>
      <w:r w:rsidRPr="004C347D">
        <w:t>aux réunions du CLIN de l’établissement</w:t>
      </w:r>
    </w:p>
    <w:p w:rsidR="004C347D" w:rsidRPr="00DF11AB" w:rsidRDefault="004C347D" w:rsidP="004C347D">
      <w:pPr>
        <w:spacing w:after="200" w:line="276" w:lineRule="auto"/>
        <w:jc w:val="both"/>
        <w:rPr>
          <w:rFonts w:asciiTheme="minorHAnsi" w:hAnsiTheme="minorHAnsi"/>
          <w:b/>
          <w:color w:val="FF0000"/>
          <w:sz w:val="28"/>
          <w:szCs w:val="28"/>
        </w:rPr>
      </w:pPr>
      <w:r w:rsidRPr="00DF11AB">
        <w:rPr>
          <w:rFonts w:asciiTheme="minorHAnsi" w:hAnsiTheme="minorHAnsi"/>
          <w:b/>
          <w:color w:val="FF0000"/>
          <w:sz w:val="28"/>
          <w:szCs w:val="28"/>
        </w:rPr>
        <w:t>Au niveau de l’établissement</w:t>
      </w:r>
    </w:p>
    <w:p w:rsidR="003264FD" w:rsidRPr="00963A7A" w:rsidRDefault="004C347D" w:rsidP="00963A7A">
      <w:pPr>
        <w:pStyle w:val="Paragraphedeliste"/>
        <w:numPr>
          <w:ilvl w:val="0"/>
          <w:numId w:val="16"/>
        </w:numPr>
        <w:jc w:val="both"/>
      </w:pPr>
      <w:r w:rsidRPr="00963A7A">
        <w:t>L’établissement participe chaque année à l’enquête « BMR » selon le protocole du CCLIN-OUEST</w:t>
      </w:r>
    </w:p>
    <w:p w:rsidR="00963A7A" w:rsidRPr="00963A7A" w:rsidRDefault="00963A7A" w:rsidP="006832DB">
      <w:pPr>
        <w:spacing w:after="200" w:line="276" w:lineRule="auto"/>
        <w:jc w:val="both"/>
        <w:rPr>
          <w:rFonts w:asciiTheme="minorHAnsi" w:hAnsiTheme="minorHAnsi"/>
        </w:rPr>
      </w:pPr>
    </w:p>
    <w:p w:rsidR="004C347D" w:rsidRPr="008A3E92" w:rsidRDefault="004C347D" w:rsidP="004C347D">
      <w:pPr>
        <w:spacing w:after="200" w:line="276" w:lineRule="auto"/>
        <w:jc w:val="both"/>
        <w:rPr>
          <w:rFonts w:asciiTheme="minorHAnsi" w:hAnsiTheme="minorHAnsi"/>
          <w:b/>
          <w:sz w:val="28"/>
          <w:szCs w:val="28"/>
          <w:highlight w:val="yellow"/>
        </w:rPr>
      </w:pPr>
      <w:r w:rsidRPr="008A3E92">
        <w:rPr>
          <w:rFonts w:asciiTheme="minorHAnsi" w:hAnsiTheme="minorHAnsi"/>
          <w:b/>
          <w:sz w:val="28"/>
          <w:szCs w:val="28"/>
          <w:highlight w:val="yellow"/>
        </w:rPr>
        <w:t>Communication des BMR et urgence</w:t>
      </w:r>
    </w:p>
    <w:p w:rsidR="00455411" w:rsidRDefault="004C347D" w:rsidP="008A3E92">
      <w:pPr>
        <w:pStyle w:val="Paragraphedeliste"/>
        <w:numPr>
          <w:ilvl w:val="0"/>
          <w:numId w:val="13"/>
        </w:numPr>
        <w:jc w:val="both"/>
      </w:pPr>
      <w:r w:rsidRPr="008A3E92">
        <w:t xml:space="preserve">En cas de BMR particulièrement résistantes et rares, ERV, GISA ou ERC résistant par production de </w:t>
      </w:r>
      <w:proofErr w:type="spellStart"/>
      <w:r w:rsidRPr="008A3E92">
        <w:t>carbapénémase</w:t>
      </w:r>
      <w:proofErr w:type="spellEnd"/>
      <w:r w:rsidRPr="008A3E92">
        <w:t xml:space="preserve">, le biologiste communique immédiatement le résultat aux médecins, </w:t>
      </w:r>
      <w:r w:rsidR="00963A7A">
        <w:t xml:space="preserve">et </w:t>
      </w:r>
      <w:r w:rsidRPr="008A3E92">
        <w:t xml:space="preserve">au responsable du CLIN. </w:t>
      </w:r>
    </w:p>
    <w:p w:rsidR="004C347D" w:rsidRPr="005F5BAC" w:rsidRDefault="004C347D" w:rsidP="008A3E92">
      <w:pPr>
        <w:pStyle w:val="Paragraphedeliste"/>
        <w:numPr>
          <w:ilvl w:val="0"/>
          <w:numId w:val="13"/>
        </w:numPr>
        <w:jc w:val="both"/>
      </w:pPr>
      <w:r w:rsidRPr="005F5BAC">
        <w:t>Le Directeur de l’établissement est prévenu</w:t>
      </w:r>
      <w:r w:rsidR="00AB4252" w:rsidRPr="005F5BAC">
        <w:t xml:space="preserve"> par le CLIN ou le médecin</w:t>
      </w:r>
      <w:r w:rsidRPr="005F5BAC">
        <w:t>.</w:t>
      </w:r>
    </w:p>
    <w:p w:rsidR="004C347D" w:rsidRPr="008A3E92" w:rsidRDefault="00455411" w:rsidP="008A3E92">
      <w:pPr>
        <w:pStyle w:val="Paragraphedeliste"/>
        <w:numPr>
          <w:ilvl w:val="0"/>
          <w:numId w:val="13"/>
        </w:numPr>
        <w:jc w:val="both"/>
      </w:pPr>
      <w:r w:rsidRPr="005F5BAC">
        <w:t xml:space="preserve">certaines souches sont identifiables au labo (ex : les ERV), les autres sont envoyées </w:t>
      </w:r>
      <w:r w:rsidR="004C347D" w:rsidRPr="005F5BAC">
        <w:t xml:space="preserve"> au Centre de référence pour expertis</w:t>
      </w:r>
      <w:r w:rsidRPr="005F5BAC">
        <w:t>e car trop complexes</w:t>
      </w:r>
      <w:r w:rsidR="00AB4252" w:rsidRPr="005F5BAC">
        <w:t xml:space="preserve"> </w:t>
      </w:r>
      <w:r w:rsidR="004C347D" w:rsidRPr="005F5BAC">
        <w:t>et une réunion immédiate est organisée entre le</w:t>
      </w:r>
      <w:r w:rsidR="004C347D" w:rsidRPr="008A3E92">
        <w:t xml:space="preserve"> prescripteur et l’infirmière hygiéniste pour mettre en place les mesures adaptées.</w:t>
      </w:r>
    </w:p>
    <w:p w:rsidR="004C347D" w:rsidRPr="008A3E92" w:rsidRDefault="004C347D" w:rsidP="008A3E92">
      <w:pPr>
        <w:pStyle w:val="Paragraphedeliste"/>
        <w:numPr>
          <w:ilvl w:val="0"/>
          <w:numId w:val="13"/>
        </w:numPr>
        <w:jc w:val="both"/>
      </w:pPr>
      <w:r w:rsidRPr="008A3E92">
        <w:t>Un signalement interne et externe est alors effectué.</w:t>
      </w:r>
    </w:p>
    <w:p w:rsidR="004C347D" w:rsidRPr="008A3E92" w:rsidRDefault="004C347D" w:rsidP="008A3E92">
      <w:pPr>
        <w:pStyle w:val="Paragraphedeliste"/>
        <w:numPr>
          <w:ilvl w:val="0"/>
          <w:numId w:val="13"/>
        </w:numPr>
        <w:jc w:val="both"/>
      </w:pPr>
      <w:r w:rsidRPr="004D7236">
        <w:t>En cas d’isolement bactériologique d’une bactérie résistante ou non sur un</w:t>
      </w:r>
      <w:r w:rsidR="00AB4252" w:rsidRPr="004D7236">
        <w:t xml:space="preserve"> prélèvement profond</w:t>
      </w:r>
      <w:r w:rsidR="00AB4252">
        <w:t xml:space="preserve"> comme un</w:t>
      </w:r>
      <w:r w:rsidRPr="008A3E92">
        <w:t xml:space="preserve"> LCR (liquide céphalo-rachidien), ou un prélèvement d’ascite ou une hémoculture, </w:t>
      </w:r>
      <w:proofErr w:type="spellStart"/>
      <w:r w:rsidRPr="008A3E92">
        <w:t>etc</w:t>
      </w:r>
      <w:proofErr w:type="spellEnd"/>
      <w:r w:rsidRPr="008A3E92">
        <w:t xml:space="preserve">  .., le microbiologiste prévient immédiatement les médecins par téléphone.</w:t>
      </w:r>
    </w:p>
    <w:p w:rsidR="004C347D" w:rsidRDefault="004C347D" w:rsidP="006832DB">
      <w:pPr>
        <w:spacing w:after="200" w:line="276" w:lineRule="auto"/>
        <w:jc w:val="both"/>
      </w:pPr>
    </w:p>
    <w:p w:rsidR="00ED6D65" w:rsidRPr="00ED6D65" w:rsidRDefault="00ED6D65" w:rsidP="00ED6D65">
      <w:pPr>
        <w:spacing w:after="200" w:line="276" w:lineRule="auto"/>
        <w:jc w:val="both"/>
        <w:rPr>
          <w:rFonts w:asciiTheme="minorHAnsi" w:hAnsiTheme="minorHAnsi"/>
          <w:b/>
          <w:sz w:val="28"/>
          <w:szCs w:val="28"/>
          <w:highlight w:val="yellow"/>
        </w:rPr>
      </w:pPr>
      <w:r w:rsidRPr="00ED6D65">
        <w:rPr>
          <w:rFonts w:asciiTheme="minorHAnsi" w:hAnsiTheme="minorHAnsi"/>
          <w:b/>
          <w:sz w:val="28"/>
          <w:szCs w:val="28"/>
          <w:highlight w:val="yellow"/>
        </w:rPr>
        <w:t>Collaboration en antibiothérapie</w:t>
      </w:r>
    </w:p>
    <w:p w:rsidR="00407436" w:rsidRPr="004D7236" w:rsidRDefault="00ED6D65" w:rsidP="00D95D98">
      <w:pPr>
        <w:pStyle w:val="Paragraphedeliste"/>
        <w:numPr>
          <w:ilvl w:val="0"/>
          <w:numId w:val="12"/>
        </w:numPr>
        <w:jc w:val="both"/>
        <w:rPr>
          <w:i/>
          <w:sz w:val="32"/>
          <w:szCs w:val="32"/>
          <w:u w:val="single"/>
        </w:rPr>
      </w:pPr>
      <w:r w:rsidRPr="004D7236">
        <w:t xml:space="preserve">Chaque année, le biologiste </w:t>
      </w:r>
      <w:r w:rsidR="00407436" w:rsidRPr="004D7236">
        <w:t xml:space="preserve">est invité à </w:t>
      </w:r>
      <w:r w:rsidRPr="004D7236">
        <w:t>présente</w:t>
      </w:r>
      <w:r w:rsidR="00407436" w:rsidRPr="004D7236">
        <w:t>r</w:t>
      </w:r>
      <w:r w:rsidRPr="004D7236">
        <w:t xml:space="preserve"> en CLIN les résultats de la surveillance des BMR</w:t>
      </w:r>
      <w:r w:rsidR="00407436" w:rsidRPr="004D7236">
        <w:t xml:space="preserve"> sur l’année</w:t>
      </w:r>
    </w:p>
    <w:p w:rsidR="00ED6D65" w:rsidRPr="004D7236" w:rsidRDefault="00ED6D65" w:rsidP="00D95D98">
      <w:pPr>
        <w:pStyle w:val="Paragraphedeliste"/>
        <w:numPr>
          <w:ilvl w:val="0"/>
          <w:numId w:val="12"/>
        </w:numPr>
        <w:jc w:val="both"/>
      </w:pPr>
      <w:r w:rsidRPr="004D7236">
        <w:lastRenderedPageBreak/>
        <w:t>La consommation des antibiotiques est présentée en parallèle.</w:t>
      </w:r>
      <w:r w:rsidR="00FA7277" w:rsidRPr="004D7236">
        <w:t xml:space="preserve"> </w:t>
      </w:r>
      <w:r w:rsidRPr="004D7236">
        <w:t>Une interprétation est alors présentée permettant d’établir une stratégie de dispensation des antibiotiques</w:t>
      </w:r>
    </w:p>
    <w:p w:rsidR="00ED6D65" w:rsidRPr="004D7236" w:rsidRDefault="00ED6D65" w:rsidP="00D95D98">
      <w:pPr>
        <w:pStyle w:val="Paragraphedeliste"/>
        <w:numPr>
          <w:ilvl w:val="0"/>
          <w:numId w:val="12"/>
        </w:numPr>
        <w:jc w:val="both"/>
      </w:pPr>
      <w:r w:rsidRPr="004D7236">
        <w:t xml:space="preserve">Ces résultats sont </w:t>
      </w:r>
      <w:r w:rsidR="00407436" w:rsidRPr="004D7236">
        <w:t xml:space="preserve">également </w:t>
      </w:r>
      <w:r w:rsidRPr="004D7236">
        <w:t>présentés en CME</w:t>
      </w:r>
    </w:p>
    <w:p w:rsidR="00ED6D65" w:rsidRPr="004D7236" w:rsidRDefault="00ED6D65" w:rsidP="00D95D98">
      <w:pPr>
        <w:pStyle w:val="Paragraphedeliste"/>
        <w:numPr>
          <w:ilvl w:val="0"/>
          <w:numId w:val="12"/>
        </w:numPr>
        <w:jc w:val="both"/>
      </w:pPr>
      <w:r w:rsidRPr="004D7236">
        <w:t xml:space="preserve">Le biologiste </w:t>
      </w:r>
      <w:r w:rsidR="00407436" w:rsidRPr="004D7236">
        <w:t xml:space="preserve">est invité à </w:t>
      </w:r>
      <w:r w:rsidRPr="004D7236">
        <w:t>participe</w:t>
      </w:r>
      <w:r w:rsidR="00407436" w:rsidRPr="004D7236">
        <w:t>r</w:t>
      </w:r>
      <w:r w:rsidRPr="004D7236">
        <w:t xml:space="preserve"> aux réunions de la COMEDIMS lorsque le sujet du jour aborde les antibiotiques</w:t>
      </w:r>
      <w:r w:rsidR="00F62CFF" w:rsidRPr="004D7236">
        <w:t xml:space="preserve"> </w:t>
      </w:r>
    </w:p>
    <w:p w:rsidR="00ED6D65" w:rsidRPr="004D7236" w:rsidRDefault="00ED6D65" w:rsidP="00D95D98">
      <w:pPr>
        <w:pStyle w:val="Paragraphedeliste"/>
        <w:numPr>
          <w:ilvl w:val="0"/>
          <w:numId w:val="12"/>
        </w:numPr>
        <w:jc w:val="both"/>
      </w:pPr>
      <w:r w:rsidRPr="004D7236">
        <w:t>Les antibiogrammes sont rendus par le laboratoire de microbiologie et lorsque c’est nécessaire (bactérie particulièrement résistante, site infectieux profond), le médecin et le biologiste communiquent par téléphone et confrontent leur expertise. Un complément d’an</w:t>
      </w:r>
      <w:r w:rsidR="008A3E92" w:rsidRPr="004D7236">
        <w:t>a</w:t>
      </w:r>
      <w:r w:rsidRPr="004D7236">
        <w:t>lyse peut être décidé.</w:t>
      </w:r>
    </w:p>
    <w:p w:rsidR="00407436" w:rsidRPr="004D7236" w:rsidRDefault="00ED6D65" w:rsidP="00D95D98">
      <w:pPr>
        <w:pStyle w:val="Paragraphedeliste"/>
        <w:numPr>
          <w:ilvl w:val="0"/>
          <w:numId w:val="12"/>
        </w:numPr>
        <w:jc w:val="both"/>
      </w:pPr>
      <w:r w:rsidRPr="004D7236">
        <w:t xml:space="preserve">Le biologiste participe </w:t>
      </w:r>
      <w:r w:rsidR="00407436" w:rsidRPr="004D7236">
        <w:t xml:space="preserve">aux </w:t>
      </w:r>
      <w:r w:rsidRPr="004D7236">
        <w:t xml:space="preserve">réunions, instances, travaux scientifiques, EPU qui permettront à l’établissement d’améliorer la prise en charge des antibiotiques. </w:t>
      </w:r>
      <w:r w:rsidR="00407436" w:rsidRPr="004D7236">
        <w:t>Selon la demande, i</w:t>
      </w:r>
      <w:r w:rsidRPr="004D7236">
        <w:t xml:space="preserve">l </w:t>
      </w:r>
      <w:r w:rsidR="00407436" w:rsidRPr="004D7236">
        <w:t xml:space="preserve">peut être invité à </w:t>
      </w:r>
      <w:r w:rsidRPr="004D7236">
        <w:t>dispense</w:t>
      </w:r>
      <w:r w:rsidR="00407436" w:rsidRPr="004D7236">
        <w:t>r</w:t>
      </w:r>
      <w:r w:rsidRPr="004D7236">
        <w:t xml:space="preserve"> des formations aux médecins et autres public (pharmacien, </w:t>
      </w:r>
      <w:proofErr w:type="gramStart"/>
      <w:r w:rsidRPr="004D7236">
        <w:t>IDE ..</w:t>
      </w:r>
      <w:proofErr w:type="gramEnd"/>
      <w:r w:rsidRPr="004D7236">
        <w:t>), en fonction des objectifs recherchés.</w:t>
      </w:r>
      <w:r w:rsidR="00F62CFF" w:rsidRPr="004D7236">
        <w:t> </w:t>
      </w:r>
    </w:p>
    <w:p w:rsidR="00407436" w:rsidRDefault="00407436" w:rsidP="00407436">
      <w:pPr>
        <w:pStyle w:val="Paragraphedeliste"/>
        <w:ind w:left="360"/>
        <w:jc w:val="both"/>
      </w:pPr>
    </w:p>
    <w:p w:rsidR="00ED6D65" w:rsidRDefault="00ED6D65" w:rsidP="00ED6D65">
      <w:pPr>
        <w:spacing w:after="200" w:line="276" w:lineRule="auto"/>
        <w:jc w:val="both"/>
        <w:rPr>
          <w:rFonts w:asciiTheme="minorHAnsi" w:hAnsiTheme="minorHAnsi"/>
          <w:b/>
          <w:sz w:val="28"/>
          <w:szCs w:val="28"/>
          <w:highlight w:val="yellow"/>
        </w:rPr>
      </w:pPr>
      <w:r>
        <w:rPr>
          <w:rFonts w:asciiTheme="minorHAnsi" w:hAnsiTheme="minorHAnsi"/>
          <w:b/>
          <w:sz w:val="28"/>
          <w:szCs w:val="28"/>
          <w:highlight w:val="yellow"/>
        </w:rPr>
        <w:t>Durée de la collaboration</w:t>
      </w:r>
    </w:p>
    <w:p w:rsidR="00407436" w:rsidRPr="004D7236" w:rsidRDefault="00407436" w:rsidP="004D7236">
      <w:pPr>
        <w:pStyle w:val="Paragraphedeliste"/>
        <w:numPr>
          <w:ilvl w:val="0"/>
          <w:numId w:val="18"/>
        </w:numPr>
        <w:jc w:val="both"/>
      </w:pPr>
      <w:r w:rsidRPr="004D7236">
        <w:t xml:space="preserve">Période de </w:t>
      </w:r>
      <w:r w:rsidR="003209D3">
        <w:t>2 années.</w:t>
      </w:r>
    </w:p>
    <w:p w:rsidR="00ED6D65" w:rsidRDefault="00ED6D65" w:rsidP="006832DB">
      <w:pPr>
        <w:spacing w:after="200" w:line="276" w:lineRule="auto"/>
        <w:jc w:val="both"/>
      </w:pPr>
    </w:p>
    <w:sectPr w:rsidR="00ED6D65" w:rsidSect="00C80105">
      <w:headerReference w:type="even" r:id="rId8"/>
      <w:headerReference w:type="default" r:id="rId9"/>
      <w:footerReference w:type="default" r:id="rId10"/>
      <w:headerReference w:type="first" r:id="rId11"/>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1D6" w:rsidRDefault="002C71D6" w:rsidP="00B85A91">
      <w:r>
        <w:separator/>
      </w:r>
    </w:p>
  </w:endnote>
  <w:endnote w:type="continuationSeparator" w:id="1">
    <w:p w:rsidR="002C71D6" w:rsidRDefault="002C71D6" w:rsidP="00B85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5032"/>
      <w:docPartObj>
        <w:docPartGallery w:val="Page Numbers (Bottom of Page)"/>
        <w:docPartUnique/>
      </w:docPartObj>
    </w:sdtPr>
    <w:sdtContent>
      <w:p w:rsidR="00DF11AB" w:rsidRPr="00B82D6C" w:rsidRDefault="00DF11AB" w:rsidP="00DE025A">
        <w:pPr>
          <w:pStyle w:val="Pieddepage"/>
          <w:shd w:val="clear" w:color="auto" w:fill="BFBFBF" w:themeFill="background1" w:themeFillShade="BF"/>
          <w:jc w:val="center"/>
          <w:rPr>
            <w:i/>
          </w:rPr>
        </w:pPr>
        <w:r w:rsidRPr="00B82D6C">
          <w:rPr>
            <w:i/>
          </w:rPr>
          <w:t>Ce docume</w:t>
        </w:r>
        <w:r>
          <w:rPr>
            <w:i/>
          </w:rPr>
          <w:t>nt est la propriété du centre hospitalier</w:t>
        </w:r>
        <w:r w:rsidRPr="00B82D6C">
          <w:rPr>
            <w:i/>
          </w:rPr>
          <w:t xml:space="preserve"> de Sancerre et ne peut être reproduit ou transmis sans notre permission expresse et écrite.</w:t>
        </w:r>
      </w:p>
      <w:p w:rsidR="00DF11AB" w:rsidRPr="00DE025A" w:rsidRDefault="00DF11AB">
        <w:pPr>
          <w:pStyle w:val="Pieddepage"/>
          <w:jc w:val="center"/>
          <w:rPr>
            <w:sz w:val="16"/>
            <w:szCs w:val="16"/>
          </w:rPr>
        </w:pPr>
      </w:p>
      <w:p w:rsidR="00DF11AB" w:rsidRDefault="0056681E" w:rsidP="00DE025A">
        <w:pPr>
          <w:pStyle w:val="Pieddepage"/>
          <w:jc w:val="center"/>
        </w:pPr>
        <w:r>
          <w:fldChar w:fldCharType="begin"/>
        </w:r>
        <w:r w:rsidR="00493DDD">
          <w:instrText xml:space="preserve"> PAGE   \* MERGEFORMAT </w:instrText>
        </w:r>
        <w:r>
          <w:fldChar w:fldCharType="separate"/>
        </w:r>
        <w:r w:rsidR="000C4306">
          <w:rPr>
            <w:noProof/>
          </w:rPr>
          <w:t>1</w:t>
        </w:r>
        <w:r>
          <w:rPr>
            <w:noProof/>
          </w:rPr>
          <w:fldChar w:fldCharType="end"/>
        </w:r>
        <w:r w:rsidR="00DF11AB">
          <w:t>/</w:t>
        </w:r>
        <w:r>
          <w:fldChar w:fldCharType="begin"/>
        </w:r>
        <w:r w:rsidR="00493DDD">
          <w:instrText xml:space="preserve"> NUMPAGES </w:instrText>
        </w:r>
        <w:r>
          <w:fldChar w:fldCharType="separate"/>
        </w:r>
        <w:r w:rsidR="000C4306">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1D6" w:rsidRDefault="002C71D6" w:rsidP="00B85A91">
      <w:r>
        <w:separator/>
      </w:r>
    </w:p>
  </w:footnote>
  <w:footnote w:type="continuationSeparator" w:id="1">
    <w:p w:rsidR="002C71D6" w:rsidRDefault="002C71D6" w:rsidP="00B85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80" w:rsidRDefault="0056681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7516" o:spid="_x0000_s2050" type="#_x0000_t136" style="position:absolute;margin-left:0;margin-top:0;width:565.6pt;height:73.75pt;rotation:315;z-index:-251654144;mso-position-horizontal:center;mso-position-horizontal-relative:margin;mso-position-vertical:center;mso-position-vertical-relative:margin" o:allowincell="f" fillcolor="#2b70ff [1945]" stroked="f">
          <v:textpath style="font-family:&quot;Calibri&quot;;font-size:1pt" string="pour validation le 17 décembr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16" w:type="dxa"/>
      <w:jc w:val="center"/>
      <w:tblCellSpacing w:w="20" w:type="dxa"/>
      <w:tblBorders>
        <w:insideH w:val="single" w:sz="6" w:space="0" w:color="6600FF"/>
        <w:insideV w:val="single" w:sz="6" w:space="0" w:color="6600FF"/>
      </w:tblBorders>
      <w:tblLayout w:type="fixed"/>
      <w:tblCellMar>
        <w:left w:w="70" w:type="dxa"/>
        <w:right w:w="70" w:type="dxa"/>
      </w:tblCellMar>
      <w:tblLook w:val="00BF"/>
    </w:tblPr>
    <w:tblGrid>
      <w:gridCol w:w="2330"/>
      <w:gridCol w:w="6480"/>
      <w:gridCol w:w="2406"/>
    </w:tblGrid>
    <w:tr w:rsidR="00DF11AB" w:rsidTr="00C80105">
      <w:trPr>
        <w:trHeight w:val="691"/>
        <w:tblCellSpacing w:w="20" w:type="dxa"/>
        <w:jc w:val="center"/>
      </w:trPr>
      <w:tc>
        <w:tcPr>
          <w:tcW w:w="2270" w:type="dxa"/>
          <w:vAlign w:val="center"/>
        </w:tcPr>
        <w:p w:rsidR="00DF11AB" w:rsidRPr="00E07748" w:rsidRDefault="0056681E" w:rsidP="00E07748">
          <w:pPr>
            <w:pStyle w:val="Pieddepage"/>
            <w:jc w:val="center"/>
            <w:rPr>
              <w:b/>
              <w:i/>
              <w:iCs/>
            </w:rPr>
          </w:pPr>
          <w:r w:rsidRPr="005668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7517" o:spid="_x0000_s2051" type="#_x0000_t136" style="position:absolute;left:0;text-align:left;margin-left:0;margin-top:0;width:565.6pt;height:73.75pt;rotation:315;z-index:-251652096;mso-position-horizontal:center;mso-position-horizontal-relative:margin;mso-position-vertical:center;mso-position-vertical-relative:margin" o:allowincell="f" fillcolor="#2b70ff [1945]" stroked="f">
                <v:textpath style="font-family:&quot;Calibri&quot;;font-size:1pt" string="pour validation le 17 décembre"/>
                <w10:wrap anchorx="margin" anchory="margin"/>
              </v:shape>
            </w:pict>
          </w:r>
          <w:r w:rsidR="00DF11AB" w:rsidRPr="00E07748">
            <w:rPr>
              <w:b/>
              <w:i/>
              <w:iCs/>
            </w:rPr>
            <w:t>Procédure et</w:t>
          </w:r>
        </w:p>
        <w:p w:rsidR="00DF11AB" w:rsidRDefault="00DF11AB" w:rsidP="00E07748">
          <w:pPr>
            <w:pStyle w:val="Pieddepage"/>
            <w:tabs>
              <w:tab w:val="left" w:pos="708"/>
            </w:tabs>
            <w:jc w:val="center"/>
            <w:rPr>
              <w:i/>
              <w:iCs/>
            </w:rPr>
          </w:pPr>
          <w:r w:rsidRPr="00E07748">
            <w:rPr>
              <w:b/>
              <w:i/>
              <w:iCs/>
            </w:rPr>
            <w:t>Protocole</w:t>
          </w:r>
        </w:p>
      </w:tc>
      <w:tc>
        <w:tcPr>
          <w:tcW w:w="6440" w:type="dxa"/>
          <w:vAlign w:val="center"/>
        </w:tcPr>
        <w:p w:rsidR="00DF11AB" w:rsidRPr="00AD0A4D" w:rsidRDefault="00DF11AB" w:rsidP="002C13E2">
          <w:pPr>
            <w:pStyle w:val="Titre1"/>
            <w:spacing w:line="240" w:lineRule="auto"/>
          </w:pPr>
          <w:r>
            <w:rPr>
              <w:b/>
              <w:bCs/>
              <w:sz w:val="28"/>
              <w:szCs w:val="28"/>
            </w:rPr>
            <w:t xml:space="preserve">CHAPITRE </w:t>
          </w:r>
          <w:r w:rsidR="002C13E2">
            <w:rPr>
              <w:b/>
              <w:bCs/>
              <w:sz w:val="28"/>
              <w:szCs w:val="28"/>
            </w:rPr>
            <w:t>07</w:t>
          </w:r>
          <w:r w:rsidRPr="00AD0A4D">
            <w:rPr>
              <w:b/>
              <w:bCs/>
              <w:sz w:val="28"/>
              <w:szCs w:val="28"/>
            </w:rPr>
            <w:t xml:space="preserve"> : </w:t>
          </w:r>
          <w:r w:rsidR="002C13E2">
            <w:rPr>
              <w:b/>
              <w:bCs/>
              <w:sz w:val="28"/>
              <w:szCs w:val="28"/>
            </w:rPr>
            <w:t>Pharmacie</w:t>
          </w:r>
        </w:p>
      </w:tc>
      <w:tc>
        <w:tcPr>
          <w:tcW w:w="2346" w:type="dxa"/>
          <w:vAlign w:val="center"/>
        </w:tcPr>
        <w:p w:rsidR="00DF11AB" w:rsidRDefault="00DF11AB" w:rsidP="00DE025A">
          <w:pPr>
            <w:jc w:val="center"/>
            <w:rPr>
              <w:i/>
              <w:iCs/>
            </w:rPr>
          </w:pPr>
          <w:r>
            <w:rPr>
              <w:i/>
              <w:iCs/>
              <w:sz w:val="22"/>
            </w:rPr>
            <w:t>N°:</w:t>
          </w:r>
        </w:p>
        <w:p w:rsidR="00DF11AB" w:rsidRPr="00AD0A4D" w:rsidRDefault="00DF11AB" w:rsidP="00247510">
          <w:pPr>
            <w:jc w:val="center"/>
            <w:rPr>
              <w:b/>
              <w:i/>
              <w:iCs/>
            </w:rPr>
          </w:pPr>
          <w:r w:rsidRPr="002C13E2">
            <w:rPr>
              <w:b/>
              <w:i/>
              <w:iCs/>
            </w:rPr>
            <w:t>PP-</w:t>
          </w:r>
          <w:r w:rsidR="002C13E2" w:rsidRPr="002C13E2">
            <w:rPr>
              <w:b/>
              <w:i/>
              <w:iCs/>
            </w:rPr>
            <w:t>PHARM</w:t>
          </w:r>
          <w:r w:rsidRPr="002C13E2">
            <w:rPr>
              <w:b/>
              <w:i/>
              <w:iCs/>
            </w:rPr>
            <w:t>-</w:t>
          </w:r>
          <w:r w:rsidR="00247510">
            <w:rPr>
              <w:b/>
              <w:i/>
              <w:iCs/>
            </w:rPr>
            <w:t>028</w:t>
          </w:r>
        </w:p>
      </w:tc>
    </w:tr>
    <w:tr w:rsidR="00DF11AB" w:rsidTr="00C80105">
      <w:trPr>
        <w:trHeight w:val="289"/>
        <w:tblCellSpacing w:w="20" w:type="dxa"/>
        <w:jc w:val="center"/>
      </w:trPr>
      <w:tc>
        <w:tcPr>
          <w:tcW w:w="2270" w:type="dxa"/>
          <w:vMerge w:val="restart"/>
          <w:vAlign w:val="center"/>
        </w:tcPr>
        <w:p w:rsidR="00DF11AB" w:rsidRDefault="00DF11AB" w:rsidP="00E07748">
          <w:pPr>
            <w:jc w:val="center"/>
            <w:rPr>
              <w:i/>
              <w:iCs/>
            </w:rPr>
          </w:pPr>
          <w:r w:rsidRPr="001008DD">
            <w:rPr>
              <w:i/>
              <w:iCs/>
              <w:noProof/>
            </w:rPr>
            <w:drawing>
              <wp:inline distT="0" distB="0" distL="0" distR="0">
                <wp:extent cx="1266825" cy="506920"/>
                <wp:effectExtent l="19050" t="0" r="0" b="0"/>
                <wp:docPr id="11" name="Image 1" descr="K:\Logo CHSancerre\Logo Sanc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 CHSancerre\Logo Sancerre.JPG"/>
                        <pic:cNvPicPr>
                          <a:picLocks noChangeAspect="1" noChangeArrowheads="1"/>
                        </pic:cNvPicPr>
                      </pic:nvPicPr>
                      <pic:blipFill>
                        <a:blip r:embed="rId1" cstate="print"/>
                        <a:srcRect/>
                        <a:stretch>
                          <a:fillRect/>
                        </a:stretch>
                      </pic:blipFill>
                      <pic:spPr bwMode="auto">
                        <a:xfrm>
                          <a:off x="0" y="0"/>
                          <a:ext cx="1266881" cy="506943"/>
                        </a:xfrm>
                        <a:prstGeom prst="rect">
                          <a:avLst/>
                        </a:prstGeom>
                        <a:noFill/>
                        <a:ln w="9525">
                          <a:noFill/>
                          <a:miter lim="800000"/>
                          <a:headEnd/>
                          <a:tailEnd/>
                        </a:ln>
                      </pic:spPr>
                    </pic:pic>
                  </a:graphicData>
                </a:graphic>
              </wp:inline>
            </w:drawing>
          </w:r>
        </w:p>
      </w:tc>
      <w:tc>
        <w:tcPr>
          <w:tcW w:w="6440" w:type="dxa"/>
          <w:vMerge w:val="restart"/>
          <w:vAlign w:val="center"/>
        </w:tcPr>
        <w:p w:rsidR="00DF11AB" w:rsidRPr="004B7DCA" w:rsidRDefault="00DF11AB" w:rsidP="009C52A9">
          <w:pPr>
            <w:jc w:val="center"/>
            <w:rPr>
              <w:b/>
              <w:bCs/>
              <w:i/>
              <w:iCs/>
              <w:sz w:val="28"/>
              <w:szCs w:val="28"/>
            </w:rPr>
          </w:pPr>
          <w:r w:rsidRPr="009C52A9">
            <w:rPr>
              <w:b/>
              <w:color w:val="FF0000"/>
              <w:sz w:val="32"/>
              <w:szCs w:val="32"/>
            </w:rPr>
            <w:t xml:space="preserve">Collaboration en antibiothérapie </w:t>
          </w:r>
        </w:p>
      </w:tc>
      <w:tc>
        <w:tcPr>
          <w:tcW w:w="2346" w:type="dxa"/>
          <w:vAlign w:val="center"/>
        </w:tcPr>
        <w:p w:rsidR="00DF11AB" w:rsidRDefault="00DF11AB" w:rsidP="00DE025A">
          <w:pPr>
            <w:rPr>
              <w:i/>
              <w:iCs/>
            </w:rPr>
          </w:pPr>
          <w:r>
            <w:rPr>
              <w:i/>
              <w:iCs/>
            </w:rPr>
            <w:t xml:space="preserve">Version : </w:t>
          </w:r>
        </w:p>
      </w:tc>
    </w:tr>
    <w:tr w:rsidR="00DF11AB" w:rsidTr="00C80105">
      <w:trPr>
        <w:trHeight w:val="289"/>
        <w:tblCellSpacing w:w="20" w:type="dxa"/>
        <w:jc w:val="center"/>
      </w:trPr>
      <w:tc>
        <w:tcPr>
          <w:tcW w:w="2270" w:type="dxa"/>
          <w:vMerge/>
          <w:vAlign w:val="center"/>
        </w:tcPr>
        <w:p w:rsidR="00DF11AB" w:rsidRDefault="00DF11AB" w:rsidP="00DE025A">
          <w:pPr>
            <w:pStyle w:val="Pieddepage"/>
            <w:spacing w:before="120"/>
            <w:jc w:val="center"/>
            <w:rPr>
              <w:i/>
              <w:iCs/>
            </w:rPr>
          </w:pPr>
        </w:p>
      </w:tc>
      <w:tc>
        <w:tcPr>
          <w:tcW w:w="6440" w:type="dxa"/>
          <w:vMerge/>
        </w:tcPr>
        <w:p w:rsidR="00DF11AB" w:rsidRPr="008F6240" w:rsidRDefault="00DF11AB" w:rsidP="00DE025A">
          <w:pPr>
            <w:pStyle w:val="En-tte"/>
            <w:tabs>
              <w:tab w:val="left" w:pos="708"/>
            </w:tabs>
            <w:rPr>
              <w:i/>
              <w:iCs/>
              <w:color w:val="FF0000"/>
            </w:rPr>
          </w:pPr>
        </w:p>
      </w:tc>
      <w:tc>
        <w:tcPr>
          <w:tcW w:w="2346" w:type="dxa"/>
          <w:vAlign w:val="center"/>
        </w:tcPr>
        <w:p w:rsidR="00DF11AB" w:rsidRDefault="00DF11AB" w:rsidP="00DE025A">
          <w:pPr>
            <w:rPr>
              <w:i/>
              <w:iCs/>
            </w:rPr>
          </w:pPr>
          <w:r>
            <w:rPr>
              <w:i/>
              <w:iCs/>
            </w:rPr>
            <w:t xml:space="preserve">Date </w:t>
          </w:r>
          <w:proofErr w:type="gramStart"/>
          <w:r>
            <w:rPr>
              <w:i/>
              <w:iCs/>
            </w:rPr>
            <w:t>:</w:t>
          </w:r>
          <w:r w:rsidR="002C13E2">
            <w:rPr>
              <w:i/>
              <w:iCs/>
            </w:rPr>
            <w:t>12</w:t>
          </w:r>
          <w:proofErr w:type="gramEnd"/>
          <w:r w:rsidR="002C13E2">
            <w:rPr>
              <w:i/>
              <w:iCs/>
            </w:rPr>
            <w:t xml:space="preserve"> </w:t>
          </w:r>
          <w:proofErr w:type="spellStart"/>
          <w:r w:rsidR="002C13E2">
            <w:rPr>
              <w:i/>
              <w:iCs/>
            </w:rPr>
            <w:t>nov</w:t>
          </w:r>
          <w:proofErr w:type="spellEnd"/>
          <w:r w:rsidR="002C13E2">
            <w:rPr>
              <w:i/>
              <w:iCs/>
            </w:rPr>
            <w:t xml:space="preserve"> 2013</w:t>
          </w:r>
        </w:p>
      </w:tc>
    </w:tr>
    <w:tr w:rsidR="00DF11AB" w:rsidTr="00C80105">
      <w:trPr>
        <w:trHeight w:val="289"/>
        <w:tblCellSpacing w:w="20" w:type="dxa"/>
        <w:jc w:val="center"/>
      </w:trPr>
      <w:tc>
        <w:tcPr>
          <w:tcW w:w="2270" w:type="dxa"/>
          <w:vMerge/>
          <w:vAlign w:val="center"/>
        </w:tcPr>
        <w:p w:rsidR="00DF11AB" w:rsidRDefault="00DF11AB" w:rsidP="00DE025A">
          <w:pPr>
            <w:pStyle w:val="Pieddepage"/>
            <w:spacing w:before="120"/>
            <w:jc w:val="center"/>
            <w:rPr>
              <w:i/>
              <w:iCs/>
            </w:rPr>
          </w:pPr>
        </w:p>
      </w:tc>
      <w:tc>
        <w:tcPr>
          <w:tcW w:w="6440" w:type="dxa"/>
          <w:vMerge/>
        </w:tcPr>
        <w:p w:rsidR="00DF11AB" w:rsidRPr="008F6240" w:rsidRDefault="00DF11AB" w:rsidP="00DE025A">
          <w:pPr>
            <w:pStyle w:val="En-tte"/>
            <w:tabs>
              <w:tab w:val="left" w:pos="708"/>
            </w:tabs>
            <w:rPr>
              <w:i/>
              <w:iCs/>
              <w:color w:val="FF0000"/>
            </w:rPr>
          </w:pPr>
        </w:p>
      </w:tc>
      <w:tc>
        <w:tcPr>
          <w:tcW w:w="2346" w:type="dxa"/>
          <w:vAlign w:val="center"/>
        </w:tcPr>
        <w:p w:rsidR="00DF11AB" w:rsidRDefault="00DF11AB" w:rsidP="00DE025A">
          <w:pPr>
            <w:rPr>
              <w:i/>
              <w:iCs/>
            </w:rPr>
          </w:pPr>
          <w:r>
            <w:rPr>
              <w:i/>
              <w:iCs/>
            </w:rPr>
            <w:t>Remplace :</w:t>
          </w:r>
        </w:p>
      </w:tc>
    </w:tr>
    <w:tr w:rsidR="00DF11AB" w:rsidTr="00C80105">
      <w:trPr>
        <w:trHeight w:val="289"/>
        <w:tblCellSpacing w:w="20" w:type="dxa"/>
        <w:jc w:val="center"/>
      </w:trPr>
      <w:tc>
        <w:tcPr>
          <w:tcW w:w="2270" w:type="dxa"/>
          <w:vMerge/>
          <w:vAlign w:val="center"/>
        </w:tcPr>
        <w:p w:rsidR="00DF11AB" w:rsidRDefault="00DF11AB" w:rsidP="00DE025A">
          <w:pPr>
            <w:pStyle w:val="Pieddepage"/>
            <w:spacing w:before="120"/>
            <w:jc w:val="center"/>
            <w:rPr>
              <w:i/>
              <w:iCs/>
            </w:rPr>
          </w:pPr>
        </w:p>
      </w:tc>
      <w:tc>
        <w:tcPr>
          <w:tcW w:w="6440" w:type="dxa"/>
          <w:vMerge/>
        </w:tcPr>
        <w:p w:rsidR="00DF11AB" w:rsidRPr="008F6240" w:rsidRDefault="00DF11AB" w:rsidP="00DE025A">
          <w:pPr>
            <w:pStyle w:val="En-tte"/>
            <w:tabs>
              <w:tab w:val="left" w:pos="708"/>
            </w:tabs>
            <w:rPr>
              <w:i/>
              <w:iCs/>
              <w:color w:val="FF0000"/>
            </w:rPr>
          </w:pPr>
        </w:p>
      </w:tc>
      <w:tc>
        <w:tcPr>
          <w:tcW w:w="2346" w:type="dxa"/>
          <w:vAlign w:val="center"/>
        </w:tcPr>
        <w:p w:rsidR="00DF11AB" w:rsidRDefault="00DF11AB" w:rsidP="00DE025A">
          <w:pPr>
            <w:rPr>
              <w:i/>
              <w:iCs/>
            </w:rPr>
          </w:pPr>
          <w:r>
            <w:rPr>
              <w:i/>
              <w:iCs/>
            </w:rPr>
            <w:t xml:space="preserve">Nb pages : </w:t>
          </w:r>
          <w:r w:rsidR="0056681E">
            <w:rPr>
              <w:b/>
            </w:rPr>
            <w:fldChar w:fldCharType="begin"/>
          </w:r>
          <w:r>
            <w:rPr>
              <w:b/>
            </w:rPr>
            <w:instrText xml:space="preserve"> NUMPAGES </w:instrText>
          </w:r>
          <w:r w:rsidR="0056681E">
            <w:rPr>
              <w:b/>
            </w:rPr>
            <w:fldChar w:fldCharType="separate"/>
          </w:r>
          <w:r w:rsidR="000C4306">
            <w:rPr>
              <w:b/>
              <w:noProof/>
            </w:rPr>
            <w:t>5</w:t>
          </w:r>
          <w:r w:rsidR="0056681E">
            <w:rPr>
              <w:b/>
            </w:rPr>
            <w:fldChar w:fldCharType="end"/>
          </w:r>
        </w:p>
      </w:tc>
    </w:tr>
  </w:tbl>
  <w:p w:rsidR="00DF11AB" w:rsidRDefault="00DF11AB" w:rsidP="00DE025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80" w:rsidRDefault="0056681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7515" o:spid="_x0000_s2049" type="#_x0000_t136" style="position:absolute;margin-left:0;margin-top:0;width:565.6pt;height:73.75pt;rotation:315;z-index:-251656192;mso-position-horizontal:center;mso-position-horizontal-relative:margin;mso-position-vertical:center;mso-position-vertical-relative:margin" o:allowincell="f" fillcolor="#2b70ff [1945]" stroked="f">
          <v:textpath style="font-family:&quot;Calibri&quot;;font-size:1pt" string="pour validation le 17 décembr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DC5"/>
    <w:multiLevelType w:val="hybridMultilevel"/>
    <w:tmpl w:val="E6D89306"/>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8940DB"/>
    <w:multiLevelType w:val="hybridMultilevel"/>
    <w:tmpl w:val="B21A3660"/>
    <w:lvl w:ilvl="0" w:tplc="A51CC694">
      <w:start w:val="30"/>
      <w:numFmt w:val="bullet"/>
      <w:lvlText w:val="-"/>
      <w:lvlJc w:val="left"/>
      <w:pPr>
        <w:ind w:left="360" w:hanging="360"/>
      </w:pPr>
      <w:rPr>
        <w:rFonts w:ascii="Calibri" w:eastAsia="Wingdings 3" w:hAnsi="Calibri" w:cs="Wingdings 3"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84620AF"/>
    <w:multiLevelType w:val="hybridMultilevel"/>
    <w:tmpl w:val="252C54E8"/>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9246453"/>
    <w:multiLevelType w:val="hybridMultilevel"/>
    <w:tmpl w:val="23C21EFA"/>
    <w:lvl w:ilvl="0" w:tplc="A51CC694">
      <w:start w:val="30"/>
      <w:numFmt w:val="bullet"/>
      <w:lvlText w:val="-"/>
      <w:lvlJc w:val="left"/>
      <w:pPr>
        <w:ind w:left="360" w:hanging="360"/>
      </w:pPr>
      <w:rPr>
        <w:rFonts w:ascii="Calibri" w:eastAsia="Wingdings 3" w:hAnsi="Calibri" w:cs="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B381581"/>
    <w:multiLevelType w:val="hybridMultilevel"/>
    <w:tmpl w:val="8A347A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600209"/>
    <w:multiLevelType w:val="hybridMultilevel"/>
    <w:tmpl w:val="8A369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C339B8"/>
    <w:multiLevelType w:val="hybridMultilevel"/>
    <w:tmpl w:val="EABE0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D854AE"/>
    <w:multiLevelType w:val="hybridMultilevel"/>
    <w:tmpl w:val="129675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E5211B"/>
    <w:multiLevelType w:val="hybridMultilevel"/>
    <w:tmpl w:val="82242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3953E7"/>
    <w:multiLevelType w:val="hybridMultilevel"/>
    <w:tmpl w:val="19DC4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5D2C04"/>
    <w:multiLevelType w:val="hybridMultilevel"/>
    <w:tmpl w:val="8D0EDC12"/>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E825F0"/>
    <w:multiLevelType w:val="hybridMultilevel"/>
    <w:tmpl w:val="25FECCD4"/>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5582A90"/>
    <w:multiLevelType w:val="hybridMultilevel"/>
    <w:tmpl w:val="319A52F8"/>
    <w:lvl w:ilvl="0" w:tplc="81A054A2">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F5908A2"/>
    <w:multiLevelType w:val="hybridMultilevel"/>
    <w:tmpl w:val="99E45108"/>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4536556"/>
    <w:multiLevelType w:val="hybridMultilevel"/>
    <w:tmpl w:val="3EB02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B104B9"/>
    <w:multiLevelType w:val="hybridMultilevel"/>
    <w:tmpl w:val="B2B2C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8C78D0"/>
    <w:multiLevelType w:val="hybridMultilevel"/>
    <w:tmpl w:val="4CE69DD8"/>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AE03907"/>
    <w:multiLevelType w:val="hybridMultilevel"/>
    <w:tmpl w:val="E88E0BD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5A0351C"/>
    <w:multiLevelType w:val="hybridMultilevel"/>
    <w:tmpl w:val="40F8B5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79D7A8B"/>
    <w:multiLevelType w:val="hybridMultilevel"/>
    <w:tmpl w:val="D332CC8A"/>
    <w:lvl w:ilvl="0" w:tplc="81A054A2">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DDB6A0C"/>
    <w:multiLevelType w:val="hybridMultilevel"/>
    <w:tmpl w:val="170ECC12"/>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5151B09"/>
    <w:multiLevelType w:val="hybridMultilevel"/>
    <w:tmpl w:val="B47C8314"/>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6FF0882"/>
    <w:multiLevelType w:val="multilevel"/>
    <w:tmpl w:val="4D9E3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C10FF2"/>
    <w:multiLevelType w:val="hybridMultilevel"/>
    <w:tmpl w:val="C0E0E4C2"/>
    <w:lvl w:ilvl="0" w:tplc="A51CC694">
      <w:start w:val="30"/>
      <w:numFmt w:val="bullet"/>
      <w:lvlText w:val="-"/>
      <w:lvlJc w:val="left"/>
      <w:pPr>
        <w:ind w:left="360" w:hanging="360"/>
      </w:pPr>
      <w:rPr>
        <w:rFonts w:ascii="Calibri" w:eastAsia="Wingdings 3" w:hAnsi="Calibri" w:cs="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1342365"/>
    <w:multiLevelType w:val="hybridMultilevel"/>
    <w:tmpl w:val="1E8074BE"/>
    <w:lvl w:ilvl="0" w:tplc="5486FE7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2A0331B"/>
    <w:multiLevelType w:val="hybridMultilevel"/>
    <w:tmpl w:val="96C45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45797F"/>
    <w:multiLevelType w:val="hybridMultilevel"/>
    <w:tmpl w:val="6084127E"/>
    <w:lvl w:ilvl="0" w:tplc="4E64E9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4E7BCD"/>
    <w:multiLevelType w:val="hybridMultilevel"/>
    <w:tmpl w:val="73E0C692"/>
    <w:lvl w:ilvl="0" w:tplc="81A054A2">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BA11E60"/>
    <w:multiLevelType w:val="hybridMultilevel"/>
    <w:tmpl w:val="491C2E7E"/>
    <w:lvl w:ilvl="0" w:tplc="81A054A2">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F570224"/>
    <w:multiLevelType w:val="hybridMultilevel"/>
    <w:tmpl w:val="C11A9AF0"/>
    <w:lvl w:ilvl="0" w:tplc="5486FE7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6"/>
  </w:num>
  <w:num w:numId="4">
    <w:abstractNumId w:val="22"/>
  </w:num>
  <w:num w:numId="5">
    <w:abstractNumId w:val="9"/>
  </w:num>
  <w:num w:numId="6">
    <w:abstractNumId w:val="26"/>
  </w:num>
  <w:num w:numId="7">
    <w:abstractNumId w:val="15"/>
  </w:num>
  <w:num w:numId="8">
    <w:abstractNumId w:val="5"/>
  </w:num>
  <w:num w:numId="9">
    <w:abstractNumId w:val="25"/>
  </w:num>
  <w:num w:numId="10">
    <w:abstractNumId w:val="1"/>
  </w:num>
  <w:num w:numId="11">
    <w:abstractNumId w:val="8"/>
  </w:num>
  <w:num w:numId="12">
    <w:abstractNumId w:val="23"/>
  </w:num>
  <w:num w:numId="13">
    <w:abstractNumId w:val="3"/>
  </w:num>
  <w:num w:numId="14">
    <w:abstractNumId w:val="17"/>
  </w:num>
  <w:num w:numId="15">
    <w:abstractNumId w:val="12"/>
  </w:num>
  <w:num w:numId="16">
    <w:abstractNumId w:val="28"/>
  </w:num>
  <w:num w:numId="17">
    <w:abstractNumId w:val="7"/>
  </w:num>
  <w:num w:numId="18">
    <w:abstractNumId w:val="29"/>
  </w:num>
  <w:num w:numId="19">
    <w:abstractNumId w:val="4"/>
  </w:num>
  <w:num w:numId="20">
    <w:abstractNumId w:val="24"/>
  </w:num>
  <w:num w:numId="21">
    <w:abstractNumId w:val="13"/>
  </w:num>
  <w:num w:numId="22">
    <w:abstractNumId w:val="2"/>
  </w:num>
  <w:num w:numId="23">
    <w:abstractNumId w:val="21"/>
  </w:num>
  <w:num w:numId="24">
    <w:abstractNumId w:val="10"/>
  </w:num>
  <w:num w:numId="25">
    <w:abstractNumId w:val="11"/>
  </w:num>
  <w:num w:numId="26">
    <w:abstractNumId w:val="16"/>
  </w:num>
  <w:num w:numId="27">
    <w:abstractNumId w:val="0"/>
  </w:num>
  <w:num w:numId="28">
    <w:abstractNumId w:val="20"/>
  </w:num>
  <w:num w:numId="29">
    <w:abstractNumId w:val="2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890988"/>
    <w:rsid w:val="0006683E"/>
    <w:rsid w:val="000C4306"/>
    <w:rsid w:val="001008DD"/>
    <w:rsid w:val="001055BA"/>
    <w:rsid w:val="00117BFC"/>
    <w:rsid w:val="00123B73"/>
    <w:rsid w:val="00160570"/>
    <w:rsid w:val="00167EA0"/>
    <w:rsid w:val="00170771"/>
    <w:rsid w:val="001B1138"/>
    <w:rsid w:val="001D2C5C"/>
    <w:rsid w:val="001D6AD0"/>
    <w:rsid w:val="001F5BDB"/>
    <w:rsid w:val="00247510"/>
    <w:rsid w:val="002B2752"/>
    <w:rsid w:val="002C13E2"/>
    <w:rsid w:val="002C71D6"/>
    <w:rsid w:val="002E0DE0"/>
    <w:rsid w:val="002E3C79"/>
    <w:rsid w:val="002F48E1"/>
    <w:rsid w:val="003209D3"/>
    <w:rsid w:val="003264FD"/>
    <w:rsid w:val="00326ED1"/>
    <w:rsid w:val="00344083"/>
    <w:rsid w:val="003527AF"/>
    <w:rsid w:val="00353E71"/>
    <w:rsid w:val="00374A2E"/>
    <w:rsid w:val="003B4984"/>
    <w:rsid w:val="00401C2A"/>
    <w:rsid w:val="00407436"/>
    <w:rsid w:val="00413C9B"/>
    <w:rsid w:val="004155C0"/>
    <w:rsid w:val="004524C0"/>
    <w:rsid w:val="00455411"/>
    <w:rsid w:val="0047208D"/>
    <w:rsid w:val="00493DDD"/>
    <w:rsid w:val="004953DA"/>
    <w:rsid w:val="004B7DCA"/>
    <w:rsid w:val="004C347D"/>
    <w:rsid w:val="004C3482"/>
    <w:rsid w:val="004C6CBD"/>
    <w:rsid w:val="004D5F64"/>
    <w:rsid w:val="004D7236"/>
    <w:rsid w:val="0056681E"/>
    <w:rsid w:val="00595343"/>
    <w:rsid w:val="005D17D0"/>
    <w:rsid w:val="005F5BAC"/>
    <w:rsid w:val="0064476E"/>
    <w:rsid w:val="00647C5A"/>
    <w:rsid w:val="00657A85"/>
    <w:rsid w:val="006832DB"/>
    <w:rsid w:val="006A20FD"/>
    <w:rsid w:val="006C7ED6"/>
    <w:rsid w:val="006E0B7B"/>
    <w:rsid w:val="006F03AD"/>
    <w:rsid w:val="00723D59"/>
    <w:rsid w:val="00764369"/>
    <w:rsid w:val="007906CB"/>
    <w:rsid w:val="007A3D7A"/>
    <w:rsid w:val="007D7908"/>
    <w:rsid w:val="0085004B"/>
    <w:rsid w:val="00870EE2"/>
    <w:rsid w:val="00890988"/>
    <w:rsid w:val="008967A2"/>
    <w:rsid w:val="008A3E92"/>
    <w:rsid w:val="008C571C"/>
    <w:rsid w:val="008D7A9A"/>
    <w:rsid w:val="0090317F"/>
    <w:rsid w:val="00963A7A"/>
    <w:rsid w:val="00966DAC"/>
    <w:rsid w:val="00993B1E"/>
    <w:rsid w:val="00994937"/>
    <w:rsid w:val="009C52A9"/>
    <w:rsid w:val="009E4EAB"/>
    <w:rsid w:val="009E5888"/>
    <w:rsid w:val="00A27C64"/>
    <w:rsid w:val="00A4612F"/>
    <w:rsid w:val="00A60EBD"/>
    <w:rsid w:val="00AB1484"/>
    <w:rsid w:val="00AB4252"/>
    <w:rsid w:val="00AD0A4D"/>
    <w:rsid w:val="00AF6493"/>
    <w:rsid w:val="00B20737"/>
    <w:rsid w:val="00B2137A"/>
    <w:rsid w:val="00B440A9"/>
    <w:rsid w:val="00B52A7E"/>
    <w:rsid w:val="00B82D6C"/>
    <w:rsid w:val="00B85A91"/>
    <w:rsid w:val="00B9624E"/>
    <w:rsid w:val="00BB3FD5"/>
    <w:rsid w:val="00BF1A50"/>
    <w:rsid w:val="00C2064F"/>
    <w:rsid w:val="00C72180"/>
    <w:rsid w:val="00C80105"/>
    <w:rsid w:val="00C84FC3"/>
    <w:rsid w:val="00C9733C"/>
    <w:rsid w:val="00D1710A"/>
    <w:rsid w:val="00D54414"/>
    <w:rsid w:val="00D833A3"/>
    <w:rsid w:val="00D95D98"/>
    <w:rsid w:val="00DC5776"/>
    <w:rsid w:val="00DE025A"/>
    <w:rsid w:val="00DF11AB"/>
    <w:rsid w:val="00DF305B"/>
    <w:rsid w:val="00E0395C"/>
    <w:rsid w:val="00E07748"/>
    <w:rsid w:val="00E53113"/>
    <w:rsid w:val="00E62F4D"/>
    <w:rsid w:val="00E7624E"/>
    <w:rsid w:val="00E82389"/>
    <w:rsid w:val="00EB7759"/>
    <w:rsid w:val="00EC5398"/>
    <w:rsid w:val="00ED6BF7"/>
    <w:rsid w:val="00ED6D65"/>
    <w:rsid w:val="00EE3F86"/>
    <w:rsid w:val="00F34D86"/>
    <w:rsid w:val="00F62CFF"/>
    <w:rsid w:val="00F66ADC"/>
    <w:rsid w:val="00F7399E"/>
    <w:rsid w:val="00F87731"/>
    <w:rsid w:val="00FA7277"/>
    <w:rsid w:val="00FB2AD0"/>
    <w:rsid w:val="00FF3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8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0988"/>
    <w:pPr>
      <w:keepNext/>
      <w:spacing w:line="480" w:lineRule="auto"/>
      <w:jc w:val="center"/>
      <w:outlineLvl w:val="0"/>
    </w:pPr>
    <w:rPr>
      <w:i/>
      <w:iCs/>
      <w:color w:val="3366F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0988"/>
    <w:rPr>
      <w:rFonts w:ascii="Times New Roman" w:eastAsia="Times New Roman" w:hAnsi="Times New Roman" w:cs="Times New Roman"/>
      <w:i/>
      <w:iCs/>
      <w:color w:val="3366FF"/>
      <w:szCs w:val="24"/>
      <w:lang w:eastAsia="fr-FR"/>
    </w:rPr>
  </w:style>
  <w:style w:type="paragraph" w:styleId="En-tte">
    <w:name w:val="header"/>
    <w:basedOn w:val="Normal"/>
    <w:link w:val="En-tteCar"/>
    <w:rsid w:val="00890988"/>
    <w:pPr>
      <w:tabs>
        <w:tab w:val="center" w:pos="4536"/>
        <w:tab w:val="right" w:pos="9072"/>
      </w:tabs>
    </w:pPr>
  </w:style>
  <w:style w:type="character" w:customStyle="1" w:styleId="En-tteCar">
    <w:name w:val="En-tête Car"/>
    <w:basedOn w:val="Policepardfaut"/>
    <w:link w:val="En-tte"/>
    <w:rsid w:val="008909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890988"/>
    <w:pPr>
      <w:tabs>
        <w:tab w:val="center" w:pos="4536"/>
        <w:tab w:val="right" w:pos="9072"/>
      </w:tabs>
    </w:pPr>
  </w:style>
  <w:style w:type="character" w:customStyle="1" w:styleId="PieddepageCar">
    <w:name w:val="Pied de page Car"/>
    <w:basedOn w:val="Policepardfaut"/>
    <w:link w:val="Pieddepage"/>
    <w:uiPriority w:val="99"/>
    <w:rsid w:val="0089098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90988"/>
    <w:rPr>
      <w:rFonts w:ascii="Tahoma" w:hAnsi="Tahoma" w:cs="Tahoma"/>
      <w:sz w:val="16"/>
      <w:szCs w:val="16"/>
    </w:rPr>
  </w:style>
  <w:style w:type="character" w:customStyle="1" w:styleId="TextedebullesCar">
    <w:name w:val="Texte de bulles Car"/>
    <w:basedOn w:val="Policepardfaut"/>
    <w:link w:val="Textedebulles"/>
    <w:uiPriority w:val="99"/>
    <w:semiHidden/>
    <w:rsid w:val="00890988"/>
    <w:rPr>
      <w:rFonts w:ascii="Tahoma" w:eastAsia="Times New Roman" w:hAnsi="Tahoma" w:cs="Tahoma"/>
      <w:sz w:val="16"/>
      <w:szCs w:val="16"/>
      <w:lang w:eastAsia="fr-FR"/>
    </w:rPr>
  </w:style>
  <w:style w:type="character" w:styleId="Numrodepage">
    <w:name w:val="page number"/>
    <w:basedOn w:val="Policepardfaut"/>
    <w:semiHidden/>
    <w:rsid w:val="00AD0A4D"/>
  </w:style>
  <w:style w:type="table" w:styleId="Grilledutableau">
    <w:name w:val="Table Grid"/>
    <w:basedOn w:val="TableauNormal"/>
    <w:uiPriority w:val="59"/>
    <w:rsid w:val="00AD0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82D6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8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0988"/>
    <w:pPr>
      <w:keepNext/>
      <w:spacing w:line="480" w:lineRule="auto"/>
      <w:jc w:val="center"/>
      <w:outlineLvl w:val="0"/>
    </w:pPr>
    <w:rPr>
      <w:i/>
      <w:iCs/>
      <w:color w:val="3366F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0988"/>
    <w:rPr>
      <w:rFonts w:ascii="Times New Roman" w:eastAsia="Times New Roman" w:hAnsi="Times New Roman" w:cs="Times New Roman"/>
      <w:i/>
      <w:iCs/>
      <w:color w:val="3366FF"/>
      <w:szCs w:val="24"/>
      <w:lang w:eastAsia="fr-FR"/>
    </w:rPr>
  </w:style>
  <w:style w:type="paragraph" w:styleId="En-tte">
    <w:name w:val="header"/>
    <w:basedOn w:val="Normal"/>
    <w:link w:val="En-tteCar"/>
    <w:rsid w:val="00890988"/>
    <w:pPr>
      <w:tabs>
        <w:tab w:val="center" w:pos="4536"/>
        <w:tab w:val="right" w:pos="9072"/>
      </w:tabs>
    </w:pPr>
  </w:style>
  <w:style w:type="character" w:customStyle="1" w:styleId="En-tteCar">
    <w:name w:val="En-tête Car"/>
    <w:basedOn w:val="Policepardfaut"/>
    <w:link w:val="En-tte"/>
    <w:rsid w:val="008909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890988"/>
    <w:pPr>
      <w:tabs>
        <w:tab w:val="center" w:pos="4536"/>
        <w:tab w:val="right" w:pos="9072"/>
      </w:tabs>
    </w:pPr>
  </w:style>
  <w:style w:type="character" w:customStyle="1" w:styleId="PieddepageCar">
    <w:name w:val="Pied de page Car"/>
    <w:basedOn w:val="Policepardfaut"/>
    <w:link w:val="Pieddepage"/>
    <w:uiPriority w:val="99"/>
    <w:rsid w:val="0089098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90988"/>
    <w:rPr>
      <w:rFonts w:ascii="Tahoma" w:hAnsi="Tahoma" w:cs="Tahoma"/>
      <w:sz w:val="16"/>
      <w:szCs w:val="16"/>
    </w:rPr>
  </w:style>
  <w:style w:type="character" w:customStyle="1" w:styleId="TextedebullesCar">
    <w:name w:val="Texte de bulles Car"/>
    <w:basedOn w:val="Policepardfaut"/>
    <w:link w:val="Textedebulles"/>
    <w:uiPriority w:val="99"/>
    <w:semiHidden/>
    <w:rsid w:val="00890988"/>
    <w:rPr>
      <w:rFonts w:ascii="Tahoma" w:eastAsia="Times New Roman" w:hAnsi="Tahoma" w:cs="Tahoma"/>
      <w:sz w:val="16"/>
      <w:szCs w:val="16"/>
      <w:lang w:eastAsia="fr-FR"/>
    </w:rPr>
  </w:style>
  <w:style w:type="character" w:styleId="Numrodepage">
    <w:name w:val="page number"/>
    <w:basedOn w:val="Policepardfaut"/>
    <w:semiHidden/>
    <w:rsid w:val="00AD0A4D"/>
  </w:style>
  <w:style w:type="table" w:styleId="Grilledutableau">
    <w:name w:val="Table Grid"/>
    <w:basedOn w:val="TableauNormal"/>
    <w:uiPriority w:val="59"/>
    <w:rsid w:val="00AD0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82D6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174A-15EA-40BD-9B8C-98BCB4A9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Propriétaire</cp:lastModifiedBy>
  <cp:revision>2</cp:revision>
  <cp:lastPrinted>2013-12-11T13:02:00Z</cp:lastPrinted>
  <dcterms:created xsi:type="dcterms:W3CDTF">2014-09-08T15:18:00Z</dcterms:created>
  <dcterms:modified xsi:type="dcterms:W3CDTF">2014-09-08T15:18:00Z</dcterms:modified>
</cp:coreProperties>
</file>