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1CA" w:rsidRPr="00D54414" w:rsidRDefault="004371CA" w:rsidP="004371CA">
      <w:pPr>
        <w:spacing w:after="60"/>
        <w:rPr>
          <w:sz w:val="22"/>
          <w:szCs w:val="22"/>
        </w:rPr>
      </w:pPr>
      <w:bookmarkStart w:id="0" w:name="début"/>
      <w:bookmarkStart w:id="1" w:name="_GoBack"/>
      <w:bookmarkEnd w:id="0"/>
      <w:bookmarkEnd w:id="1"/>
      <w:r w:rsidRPr="00D54414">
        <w:rPr>
          <w:b/>
          <w:sz w:val="22"/>
          <w:szCs w:val="22"/>
          <w:u w:val="single"/>
        </w:rPr>
        <w:t>OBJECTIF :</w:t>
      </w:r>
    </w:p>
    <w:p w:rsidR="008B6212" w:rsidRDefault="00DB66DA" w:rsidP="002A62DE">
      <w:pPr>
        <w:pStyle w:val="Paragraphedeliste"/>
        <w:numPr>
          <w:ilvl w:val="0"/>
          <w:numId w:val="2"/>
        </w:numPr>
        <w:jc w:val="both"/>
      </w:pPr>
      <w:r>
        <w:t xml:space="preserve">Préciser les modalités de </w:t>
      </w:r>
      <w:r w:rsidR="008B6212">
        <w:t>dénaturation des stupéfiants périmés</w:t>
      </w:r>
      <w:r w:rsidR="005C16E8">
        <w:t xml:space="preserve"> en application de la loi du 12 mars 2013</w:t>
      </w:r>
    </w:p>
    <w:p w:rsidR="004371CA" w:rsidRPr="00D54414" w:rsidRDefault="004371CA" w:rsidP="00DB2858">
      <w:pPr>
        <w:rPr>
          <w:b/>
          <w:sz w:val="22"/>
          <w:szCs w:val="22"/>
          <w:u w:val="single"/>
        </w:rPr>
      </w:pPr>
      <w:r w:rsidRPr="00D54414">
        <w:rPr>
          <w:b/>
          <w:sz w:val="22"/>
          <w:szCs w:val="22"/>
          <w:u w:val="single"/>
        </w:rPr>
        <w:t>REDACTION :</w:t>
      </w:r>
    </w:p>
    <w:p w:rsidR="004371CA" w:rsidRPr="00595343" w:rsidRDefault="00DB2858" w:rsidP="004371CA">
      <w:pPr>
        <w:rPr>
          <w:sz w:val="22"/>
          <w:szCs w:val="22"/>
        </w:rPr>
      </w:pPr>
      <w:r>
        <w:rPr>
          <w:sz w:val="22"/>
          <w:szCs w:val="22"/>
        </w:rPr>
        <w:t>Dr Jacques Barthélémy</w:t>
      </w:r>
      <w:r w:rsidR="00E17C59">
        <w:rPr>
          <w:sz w:val="22"/>
          <w:szCs w:val="22"/>
        </w:rPr>
        <w:t>, RSMQPECM</w:t>
      </w:r>
      <w:r w:rsidR="003F2524">
        <w:rPr>
          <w:sz w:val="22"/>
          <w:szCs w:val="22"/>
        </w:rPr>
        <w:t>, CGDR</w:t>
      </w:r>
    </w:p>
    <w:p w:rsidR="004371CA" w:rsidRDefault="004371CA" w:rsidP="004371CA">
      <w:pPr>
        <w:rPr>
          <w:sz w:val="20"/>
          <w:szCs w:val="20"/>
        </w:rPr>
      </w:pPr>
    </w:p>
    <w:p w:rsidR="004371CA" w:rsidRPr="00D54414" w:rsidRDefault="004371CA" w:rsidP="004371CA">
      <w:pPr>
        <w:spacing w:after="60"/>
        <w:rPr>
          <w:b/>
          <w:sz w:val="22"/>
          <w:szCs w:val="22"/>
          <w:u w:val="single"/>
        </w:rPr>
      </w:pPr>
      <w:r w:rsidRPr="00D54414">
        <w:rPr>
          <w:b/>
          <w:sz w:val="22"/>
          <w:szCs w:val="22"/>
          <w:u w:val="single"/>
        </w:rPr>
        <w:t>VALIDE PAR :</w:t>
      </w:r>
    </w:p>
    <w:p w:rsidR="00E17C59" w:rsidRPr="002A0F07" w:rsidRDefault="00E17C59" w:rsidP="004371CA">
      <w:pPr>
        <w:rPr>
          <w:sz w:val="22"/>
          <w:szCs w:val="22"/>
        </w:rPr>
      </w:pPr>
      <w:r w:rsidRPr="002A0F07">
        <w:rPr>
          <w:sz w:val="22"/>
          <w:szCs w:val="22"/>
        </w:rPr>
        <w:t>C</w:t>
      </w:r>
      <w:r w:rsidR="00E6738E">
        <w:rPr>
          <w:sz w:val="22"/>
          <w:szCs w:val="22"/>
        </w:rPr>
        <w:t>OMEDIMS</w:t>
      </w:r>
      <w:r w:rsidRPr="002A0F07">
        <w:rPr>
          <w:sz w:val="22"/>
          <w:szCs w:val="22"/>
        </w:rPr>
        <w:t xml:space="preserve">, le </w:t>
      </w:r>
      <w:r w:rsidR="00E6738E">
        <w:rPr>
          <w:sz w:val="22"/>
          <w:szCs w:val="22"/>
        </w:rPr>
        <w:t xml:space="preserve">….. </w:t>
      </w:r>
    </w:p>
    <w:p w:rsidR="004371CA" w:rsidRPr="00B20737" w:rsidRDefault="004371CA" w:rsidP="004371CA">
      <w:pPr>
        <w:rPr>
          <w:sz w:val="20"/>
          <w:szCs w:val="20"/>
        </w:rPr>
      </w:pPr>
    </w:p>
    <w:p w:rsidR="004371CA" w:rsidRPr="00B82D6C" w:rsidRDefault="004371CA" w:rsidP="004371CA">
      <w:pPr>
        <w:spacing w:after="60"/>
        <w:rPr>
          <w:b/>
          <w:sz w:val="22"/>
          <w:szCs w:val="22"/>
          <w:u w:val="single"/>
        </w:rPr>
      </w:pPr>
      <w:r w:rsidRPr="00B82D6C">
        <w:rPr>
          <w:b/>
          <w:sz w:val="22"/>
          <w:szCs w:val="22"/>
          <w:u w:val="single"/>
        </w:rPr>
        <w:t>APPROBATION :</w:t>
      </w:r>
    </w:p>
    <w:p w:rsidR="004371CA" w:rsidRDefault="004371CA" w:rsidP="004371CA">
      <w:pPr>
        <w:rPr>
          <w:sz w:val="20"/>
          <w:szCs w:val="20"/>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02"/>
        <w:gridCol w:w="142"/>
        <w:gridCol w:w="1417"/>
        <w:gridCol w:w="142"/>
        <w:gridCol w:w="1559"/>
        <w:gridCol w:w="142"/>
        <w:gridCol w:w="1559"/>
        <w:gridCol w:w="142"/>
        <w:gridCol w:w="1418"/>
        <w:gridCol w:w="141"/>
        <w:gridCol w:w="1474"/>
      </w:tblGrid>
      <w:tr w:rsidR="00DC7D6A" w:rsidTr="00DE3C4C">
        <w:trPr>
          <w:jc w:val="center"/>
        </w:trPr>
        <w:tc>
          <w:tcPr>
            <w:tcW w:w="3261" w:type="dxa"/>
            <w:gridSpan w:val="3"/>
            <w:tcBorders>
              <w:top w:val="nil"/>
              <w:left w:val="nil"/>
              <w:bottom w:val="nil"/>
              <w:right w:val="nil"/>
            </w:tcBorders>
            <w:vAlign w:val="center"/>
          </w:tcPr>
          <w:p w:rsidR="00DC7D6A" w:rsidRDefault="00DC7D6A" w:rsidP="00DE3C4C">
            <w:pPr>
              <w:tabs>
                <w:tab w:val="left" w:pos="2268"/>
              </w:tabs>
              <w:jc w:val="center"/>
            </w:pPr>
            <w:r>
              <w:t>Directeur de l'établissement</w:t>
            </w:r>
          </w:p>
          <w:p w:rsidR="00DC7D6A" w:rsidRDefault="00DC7D6A" w:rsidP="00DE3C4C">
            <w:pPr>
              <w:tabs>
                <w:tab w:val="left" w:pos="2268"/>
              </w:tabs>
              <w:jc w:val="center"/>
            </w:pPr>
            <w:r>
              <w:t>N. Lainé</w:t>
            </w:r>
          </w:p>
        </w:tc>
        <w:tc>
          <w:tcPr>
            <w:tcW w:w="142" w:type="dxa"/>
            <w:tcBorders>
              <w:top w:val="nil"/>
              <w:left w:val="nil"/>
              <w:bottom w:val="nil"/>
              <w:right w:val="nil"/>
            </w:tcBorders>
            <w:vAlign w:val="center"/>
          </w:tcPr>
          <w:p w:rsidR="00DC7D6A" w:rsidRDefault="00DC7D6A" w:rsidP="00DE3C4C">
            <w:pPr>
              <w:jc w:val="center"/>
            </w:pPr>
          </w:p>
        </w:tc>
        <w:tc>
          <w:tcPr>
            <w:tcW w:w="3260" w:type="dxa"/>
            <w:gridSpan w:val="3"/>
            <w:tcBorders>
              <w:top w:val="nil"/>
              <w:left w:val="nil"/>
              <w:bottom w:val="nil"/>
              <w:right w:val="nil"/>
            </w:tcBorders>
            <w:vAlign w:val="center"/>
          </w:tcPr>
          <w:p w:rsidR="00DC7D6A" w:rsidRDefault="00DC7D6A" w:rsidP="00DE3C4C">
            <w:pPr>
              <w:jc w:val="center"/>
            </w:pPr>
            <w:r>
              <w:t>Président de la CME</w:t>
            </w:r>
          </w:p>
          <w:p w:rsidR="00DC7D6A" w:rsidRDefault="00DC7D6A" w:rsidP="00DE3C4C">
            <w:pPr>
              <w:jc w:val="center"/>
            </w:pPr>
            <w:r>
              <w:t>Dr Bréard</w:t>
            </w:r>
          </w:p>
        </w:tc>
        <w:tc>
          <w:tcPr>
            <w:tcW w:w="142" w:type="dxa"/>
            <w:tcBorders>
              <w:top w:val="nil"/>
              <w:left w:val="nil"/>
              <w:bottom w:val="nil"/>
              <w:right w:val="nil"/>
            </w:tcBorders>
            <w:vAlign w:val="center"/>
          </w:tcPr>
          <w:p w:rsidR="00DC7D6A" w:rsidRDefault="00DC7D6A" w:rsidP="00DE3C4C">
            <w:pPr>
              <w:jc w:val="center"/>
            </w:pPr>
          </w:p>
        </w:tc>
        <w:tc>
          <w:tcPr>
            <w:tcW w:w="3033" w:type="dxa"/>
            <w:gridSpan w:val="3"/>
            <w:tcBorders>
              <w:top w:val="nil"/>
              <w:left w:val="nil"/>
              <w:bottom w:val="nil"/>
              <w:right w:val="nil"/>
            </w:tcBorders>
            <w:vAlign w:val="center"/>
          </w:tcPr>
          <w:p w:rsidR="00DC7D6A" w:rsidRDefault="002A0F07" w:rsidP="00DE3C4C">
            <w:pPr>
              <w:jc w:val="center"/>
            </w:pPr>
            <w:r>
              <w:t>RSMQPECM</w:t>
            </w:r>
            <w:r w:rsidR="003F2524">
              <w:t>, CGDR</w:t>
            </w:r>
          </w:p>
          <w:p w:rsidR="002A0F07" w:rsidRDefault="002A0F07" w:rsidP="00DE3C4C">
            <w:pPr>
              <w:jc w:val="center"/>
            </w:pPr>
            <w:r>
              <w:t>Dr Barthélémy</w:t>
            </w:r>
          </w:p>
        </w:tc>
      </w:tr>
      <w:tr w:rsidR="00DC7D6A" w:rsidTr="00DE3C4C">
        <w:trPr>
          <w:trHeight w:val="673"/>
          <w:jc w:val="center"/>
        </w:trPr>
        <w:tc>
          <w:tcPr>
            <w:tcW w:w="3261" w:type="dxa"/>
            <w:gridSpan w:val="3"/>
            <w:tcBorders>
              <w:top w:val="nil"/>
              <w:left w:val="nil"/>
              <w:bottom w:val="nil"/>
              <w:right w:val="nil"/>
            </w:tcBorders>
          </w:tcPr>
          <w:p w:rsidR="00DC7D6A" w:rsidRDefault="00DC7D6A" w:rsidP="00DE3C4C">
            <w:pPr>
              <w:jc w:val="both"/>
            </w:pPr>
          </w:p>
        </w:tc>
        <w:tc>
          <w:tcPr>
            <w:tcW w:w="142" w:type="dxa"/>
            <w:tcBorders>
              <w:top w:val="nil"/>
              <w:left w:val="nil"/>
              <w:bottom w:val="nil"/>
              <w:right w:val="nil"/>
            </w:tcBorders>
          </w:tcPr>
          <w:p w:rsidR="00DC7D6A" w:rsidRDefault="00DC7D6A" w:rsidP="00DE3C4C">
            <w:pPr>
              <w:jc w:val="both"/>
            </w:pPr>
          </w:p>
        </w:tc>
        <w:tc>
          <w:tcPr>
            <w:tcW w:w="3260" w:type="dxa"/>
            <w:gridSpan w:val="3"/>
            <w:tcBorders>
              <w:top w:val="nil"/>
              <w:left w:val="nil"/>
              <w:bottom w:val="nil"/>
              <w:right w:val="nil"/>
            </w:tcBorders>
          </w:tcPr>
          <w:p w:rsidR="00DC7D6A" w:rsidRDefault="00DC7D6A" w:rsidP="00DE3C4C">
            <w:pPr>
              <w:jc w:val="both"/>
            </w:pPr>
          </w:p>
        </w:tc>
        <w:tc>
          <w:tcPr>
            <w:tcW w:w="142" w:type="dxa"/>
            <w:tcBorders>
              <w:top w:val="nil"/>
              <w:left w:val="nil"/>
              <w:bottom w:val="nil"/>
              <w:right w:val="nil"/>
            </w:tcBorders>
          </w:tcPr>
          <w:p w:rsidR="00DC7D6A" w:rsidRDefault="00DC7D6A" w:rsidP="00DE3C4C">
            <w:pPr>
              <w:jc w:val="both"/>
            </w:pPr>
          </w:p>
        </w:tc>
        <w:tc>
          <w:tcPr>
            <w:tcW w:w="3033" w:type="dxa"/>
            <w:gridSpan w:val="3"/>
            <w:tcBorders>
              <w:top w:val="nil"/>
              <w:left w:val="nil"/>
              <w:bottom w:val="nil"/>
              <w:right w:val="nil"/>
            </w:tcBorders>
          </w:tcPr>
          <w:p w:rsidR="00DC7D6A" w:rsidRDefault="00DC7D6A" w:rsidP="00DE3C4C">
            <w:pPr>
              <w:jc w:val="both"/>
            </w:pPr>
          </w:p>
        </w:tc>
      </w:tr>
      <w:tr w:rsidR="00DC7D6A" w:rsidTr="00DE3C4C">
        <w:trPr>
          <w:cantSplit/>
          <w:jc w:val="center"/>
        </w:trPr>
        <w:tc>
          <w:tcPr>
            <w:tcW w:w="1702" w:type="dxa"/>
            <w:tcBorders>
              <w:left w:val="nil"/>
              <w:bottom w:val="nil"/>
              <w:right w:val="nil"/>
            </w:tcBorders>
          </w:tcPr>
          <w:p w:rsidR="00DC7D6A" w:rsidRDefault="00DC7D6A" w:rsidP="00DE3C4C">
            <w:pPr>
              <w:jc w:val="both"/>
            </w:pPr>
            <w:r>
              <w:t>Date</w:t>
            </w:r>
          </w:p>
        </w:tc>
        <w:tc>
          <w:tcPr>
            <w:tcW w:w="142" w:type="dxa"/>
            <w:tcBorders>
              <w:top w:val="nil"/>
              <w:left w:val="nil"/>
              <w:bottom w:val="nil"/>
              <w:right w:val="nil"/>
            </w:tcBorders>
          </w:tcPr>
          <w:p w:rsidR="00DC7D6A" w:rsidRDefault="00DC7D6A" w:rsidP="00DE3C4C">
            <w:pPr>
              <w:jc w:val="both"/>
            </w:pPr>
          </w:p>
        </w:tc>
        <w:tc>
          <w:tcPr>
            <w:tcW w:w="1417" w:type="dxa"/>
            <w:tcBorders>
              <w:left w:val="nil"/>
              <w:bottom w:val="nil"/>
              <w:right w:val="nil"/>
            </w:tcBorders>
          </w:tcPr>
          <w:p w:rsidR="00DC7D6A" w:rsidRDefault="00DC7D6A" w:rsidP="00DE3C4C">
            <w:pPr>
              <w:jc w:val="both"/>
            </w:pPr>
            <w:r>
              <w:t>Signature</w:t>
            </w:r>
          </w:p>
        </w:tc>
        <w:tc>
          <w:tcPr>
            <w:tcW w:w="142" w:type="dxa"/>
            <w:tcBorders>
              <w:top w:val="nil"/>
              <w:left w:val="nil"/>
              <w:bottom w:val="nil"/>
              <w:right w:val="nil"/>
            </w:tcBorders>
          </w:tcPr>
          <w:p w:rsidR="00DC7D6A" w:rsidRDefault="00DC7D6A" w:rsidP="00DE3C4C">
            <w:pPr>
              <w:jc w:val="both"/>
            </w:pPr>
          </w:p>
        </w:tc>
        <w:tc>
          <w:tcPr>
            <w:tcW w:w="1559" w:type="dxa"/>
            <w:tcBorders>
              <w:left w:val="nil"/>
              <w:bottom w:val="nil"/>
              <w:right w:val="nil"/>
            </w:tcBorders>
          </w:tcPr>
          <w:p w:rsidR="00DC7D6A" w:rsidRDefault="00DC7D6A" w:rsidP="00DE3C4C">
            <w:pPr>
              <w:jc w:val="both"/>
            </w:pPr>
            <w:r>
              <w:t>Date</w:t>
            </w:r>
          </w:p>
        </w:tc>
        <w:tc>
          <w:tcPr>
            <w:tcW w:w="142" w:type="dxa"/>
            <w:tcBorders>
              <w:top w:val="nil"/>
              <w:left w:val="nil"/>
              <w:bottom w:val="nil"/>
              <w:right w:val="nil"/>
            </w:tcBorders>
          </w:tcPr>
          <w:p w:rsidR="00DC7D6A" w:rsidRDefault="00DC7D6A" w:rsidP="00DE3C4C">
            <w:pPr>
              <w:jc w:val="both"/>
            </w:pPr>
          </w:p>
        </w:tc>
        <w:tc>
          <w:tcPr>
            <w:tcW w:w="1559" w:type="dxa"/>
            <w:tcBorders>
              <w:left w:val="nil"/>
              <w:bottom w:val="nil"/>
              <w:right w:val="nil"/>
            </w:tcBorders>
          </w:tcPr>
          <w:p w:rsidR="00DC7D6A" w:rsidRDefault="00DC7D6A" w:rsidP="00DE3C4C">
            <w:pPr>
              <w:jc w:val="both"/>
            </w:pPr>
            <w:r>
              <w:t>Signature</w:t>
            </w:r>
          </w:p>
        </w:tc>
        <w:tc>
          <w:tcPr>
            <w:tcW w:w="142" w:type="dxa"/>
            <w:tcBorders>
              <w:top w:val="nil"/>
              <w:left w:val="nil"/>
              <w:bottom w:val="nil"/>
              <w:right w:val="nil"/>
            </w:tcBorders>
          </w:tcPr>
          <w:p w:rsidR="00DC7D6A" w:rsidRDefault="00DC7D6A" w:rsidP="00DE3C4C">
            <w:pPr>
              <w:jc w:val="both"/>
            </w:pPr>
          </w:p>
        </w:tc>
        <w:tc>
          <w:tcPr>
            <w:tcW w:w="1418" w:type="dxa"/>
            <w:tcBorders>
              <w:left w:val="nil"/>
              <w:bottom w:val="nil"/>
              <w:right w:val="nil"/>
            </w:tcBorders>
          </w:tcPr>
          <w:p w:rsidR="00DC7D6A" w:rsidRDefault="00DC7D6A" w:rsidP="00DE3C4C">
            <w:pPr>
              <w:jc w:val="both"/>
            </w:pPr>
            <w:r>
              <w:t>Date</w:t>
            </w:r>
          </w:p>
        </w:tc>
        <w:tc>
          <w:tcPr>
            <w:tcW w:w="141" w:type="dxa"/>
            <w:tcBorders>
              <w:top w:val="nil"/>
              <w:left w:val="nil"/>
              <w:bottom w:val="nil"/>
              <w:right w:val="nil"/>
            </w:tcBorders>
          </w:tcPr>
          <w:p w:rsidR="00DC7D6A" w:rsidRDefault="00DC7D6A" w:rsidP="00DE3C4C">
            <w:pPr>
              <w:jc w:val="both"/>
            </w:pPr>
          </w:p>
        </w:tc>
        <w:tc>
          <w:tcPr>
            <w:tcW w:w="1474" w:type="dxa"/>
            <w:tcBorders>
              <w:left w:val="nil"/>
              <w:bottom w:val="nil"/>
              <w:right w:val="nil"/>
            </w:tcBorders>
          </w:tcPr>
          <w:p w:rsidR="00DC7D6A" w:rsidRDefault="00DC7D6A" w:rsidP="00DE3C4C">
            <w:pPr>
              <w:jc w:val="both"/>
            </w:pPr>
            <w:r>
              <w:t>Signature</w:t>
            </w:r>
          </w:p>
        </w:tc>
      </w:tr>
    </w:tbl>
    <w:p w:rsidR="004371CA" w:rsidRDefault="004371CA" w:rsidP="004371CA">
      <w:pPr>
        <w:rPr>
          <w:sz w:val="20"/>
          <w:szCs w:val="20"/>
        </w:rPr>
      </w:pPr>
    </w:p>
    <w:p w:rsidR="004371CA" w:rsidRPr="00B82D6C" w:rsidRDefault="004371CA" w:rsidP="004371CA">
      <w:pPr>
        <w:spacing w:after="60"/>
        <w:rPr>
          <w:b/>
          <w:sz w:val="22"/>
          <w:szCs w:val="22"/>
          <w:u w:val="single"/>
        </w:rPr>
      </w:pPr>
      <w:r w:rsidRPr="00B82D6C">
        <w:rPr>
          <w:b/>
          <w:sz w:val="22"/>
          <w:szCs w:val="22"/>
          <w:u w:val="single"/>
        </w:rPr>
        <w:t>APPLICABLE A :</w:t>
      </w:r>
    </w:p>
    <w:p w:rsidR="008B6212" w:rsidRDefault="008B6212" w:rsidP="00F944A3">
      <w:pPr>
        <w:pStyle w:val="Paragraphedeliste"/>
        <w:numPr>
          <w:ilvl w:val="0"/>
          <w:numId w:val="1"/>
        </w:numPr>
        <w:spacing w:after="120"/>
        <w:ind w:left="714" w:hanging="357"/>
        <w:rPr>
          <w:sz w:val="20"/>
          <w:szCs w:val="20"/>
        </w:rPr>
      </w:pPr>
      <w:r>
        <w:rPr>
          <w:sz w:val="20"/>
          <w:szCs w:val="20"/>
        </w:rPr>
        <w:t>Pharmacie pour action, autres services pour information</w:t>
      </w:r>
    </w:p>
    <w:p w:rsidR="00F944A3" w:rsidRPr="00595343" w:rsidRDefault="00F944A3" w:rsidP="004371CA">
      <w:pPr>
        <w:rPr>
          <w:sz w:val="20"/>
          <w:szCs w:val="20"/>
        </w:rPr>
      </w:pPr>
    </w:p>
    <w:p w:rsidR="004371CA" w:rsidRPr="00595343" w:rsidRDefault="004371CA" w:rsidP="004371CA">
      <w:pPr>
        <w:spacing w:after="60"/>
        <w:rPr>
          <w:b/>
          <w:sz w:val="22"/>
          <w:szCs w:val="22"/>
          <w:u w:val="single"/>
        </w:rPr>
      </w:pPr>
      <w:r>
        <w:rPr>
          <w:b/>
          <w:sz w:val="22"/>
          <w:szCs w:val="22"/>
          <w:u w:val="single"/>
        </w:rPr>
        <w:t>DOCUMENTS DE REFERENCE</w:t>
      </w:r>
      <w:r w:rsidRPr="00595343">
        <w:rPr>
          <w:b/>
          <w:sz w:val="22"/>
          <w:szCs w:val="22"/>
          <w:u w:val="single"/>
        </w:rPr>
        <w:t xml:space="preserve"> </w:t>
      </w:r>
      <w:r>
        <w:rPr>
          <w:b/>
          <w:sz w:val="22"/>
          <w:szCs w:val="22"/>
          <w:u w:val="single"/>
        </w:rPr>
        <w:t>:</w:t>
      </w:r>
    </w:p>
    <w:p w:rsidR="00E6738E" w:rsidRPr="000A2B9F" w:rsidRDefault="008B6212" w:rsidP="002A62DE">
      <w:pPr>
        <w:pStyle w:val="Paragraphedeliste"/>
        <w:numPr>
          <w:ilvl w:val="0"/>
          <w:numId w:val="3"/>
        </w:numPr>
        <w:jc w:val="both"/>
        <w:rPr>
          <w:color w:val="0070C0"/>
        </w:rPr>
      </w:pPr>
      <w:r>
        <w:t>Arrêté du 12 mars 2013 relatif aux substances, préparations, médicaments classés comme stupéfiants (…), JO du 22 mars 2013</w:t>
      </w:r>
    </w:p>
    <w:p w:rsidR="000A2B9F" w:rsidRPr="005C16E8" w:rsidRDefault="000A2B9F" w:rsidP="002A62DE">
      <w:pPr>
        <w:pStyle w:val="Paragraphedeliste"/>
        <w:numPr>
          <w:ilvl w:val="0"/>
          <w:numId w:val="3"/>
        </w:numPr>
        <w:jc w:val="both"/>
        <w:rPr>
          <w:color w:val="0070C0"/>
        </w:rPr>
      </w:pPr>
      <w:r>
        <w:t xml:space="preserve">Article R5132-36 du Code de la Santé Publique </w:t>
      </w:r>
    </w:p>
    <w:p w:rsidR="005C16E8" w:rsidRPr="008F2A63" w:rsidRDefault="005C16E8" w:rsidP="002A62DE">
      <w:pPr>
        <w:pStyle w:val="Paragraphedeliste"/>
        <w:numPr>
          <w:ilvl w:val="0"/>
          <w:numId w:val="3"/>
        </w:numPr>
        <w:jc w:val="both"/>
        <w:rPr>
          <w:color w:val="0070C0"/>
        </w:rPr>
      </w:pPr>
      <w:r>
        <w:t xml:space="preserve">Ordre National des Pharmaciens – Conseil Central </w:t>
      </w:r>
      <w:r w:rsidR="00A7367E">
        <w:t>« </w:t>
      </w:r>
      <w:r>
        <w:t>A</w:t>
      </w:r>
      <w:r w:rsidR="00A7367E">
        <w:t> »</w:t>
      </w:r>
      <w:r>
        <w:t xml:space="preserve"> – Pro</w:t>
      </w:r>
      <w:r w:rsidR="00A7367E">
        <w:t>cédu</w:t>
      </w:r>
      <w:r>
        <w:t>re de traitement et d’élimination des produits stupéfiants périmés ou retournés, 22 juin 2010</w:t>
      </w:r>
    </w:p>
    <w:p w:rsidR="008F2A63" w:rsidRPr="008F2A63" w:rsidRDefault="008F2A63" w:rsidP="008F2A63">
      <w:pPr>
        <w:pStyle w:val="Paragraphedeliste"/>
        <w:numPr>
          <w:ilvl w:val="0"/>
          <w:numId w:val="3"/>
        </w:numPr>
        <w:jc w:val="both"/>
        <w:rPr>
          <w:color w:val="0070C0"/>
        </w:rPr>
      </w:pPr>
      <w:r>
        <w:t>Ordre National des Pharmaciens – Conseil Central « E ou H » – Procédure de désignation du pharmacien « témoin » de la dénaturation des produits stupéfiants périmés, altérés ou retournés » - CCH, mai 2013t</w:t>
      </w:r>
    </w:p>
    <w:p w:rsidR="005C16E8" w:rsidRPr="00E6738E" w:rsidRDefault="005C16E8" w:rsidP="002A62DE">
      <w:pPr>
        <w:pStyle w:val="Paragraphedeliste"/>
        <w:numPr>
          <w:ilvl w:val="0"/>
          <w:numId w:val="3"/>
        </w:numPr>
        <w:jc w:val="both"/>
        <w:rPr>
          <w:color w:val="0070C0"/>
        </w:rPr>
      </w:pPr>
      <w:r>
        <w:t>ARS Aquitaine – Procédure de traitement et d’élimination de produits stupéfiants</w:t>
      </w:r>
    </w:p>
    <w:p w:rsidR="00DB2858" w:rsidRPr="00353E71" w:rsidRDefault="00DB2858" w:rsidP="004371CA">
      <w:pPr>
        <w:rPr>
          <w:sz w:val="20"/>
          <w:szCs w:val="20"/>
        </w:rPr>
      </w:pPr>
    </w:p>
    <w:p w:rsidR="004371CA" w:rsidRPr="00595343" w:rsidRDefault="004371CA" w:rsidP="004371CA">
      <w:pPr>
        <w:spacing w:after="60"/>
        <w:rPr>
          <w:b/>
          <w:sz w:val="22"/>
          <w:szCs w:val="22"/>
          <w:u w:val="single"/>
        </w:rPr>
      </w:pPr>
      <w:r w:rsidRPr="00595343">
        <w:rPr>
          <w:b/>
          <w:sz w:val="22"/>
          <w:szCs w:val="22"/>
          <w:u w:val="single"/>
        </w:rPr>
        <w:t>DOCUMENT</w:t>
      </w:r>
      <w:r w:rsidR="008218B0">
        <w:rPr>
          <w:b/>
          <w:sz w:val="22"/>
          <w:szCs w:val="22"/>
          <w:u w:val="single"/>
        </w:rPr>
        <w:t>S</w:t>
      </w:r>
      <w:r w:rsidRPr="00595343">
        <w:rPr>
          <w:b/>
          <w:sz w:val="22"/>
          <w:szCs w:val="22"/>
          <w:u w:val="single"/>
        </w:rPr>
        <w:t xml:space="preserve"> ASSOCIES</w:t>
      </w:r>
      <w:r>
        <w:rPr>
          <w:b/>
          <w:sz w:val="22"/>
          <w:szCs w:val="22"/>
          <w:u w:val="single"/>
        </w:rPr>
        <w:t xml:space="preserve"> :</w:t>
      </w:r>
    </w:p>
    <w:p w:rsidR="004371CA" w:rsidRPr="00E74602" w:rsidRDefault="00E74602" w:rsidP="002A62DE">
      <w:pPr>
        <w:pStyle w:val="Paragraphedeliste"/>
        <w:numPr>
          <w:ilvl w:val="0"/>
          <w:numId w:val="8"/>
        </w:numPr>
        <w:rPr>
          <w:sz w:val="20"/>
          <w:szCs w:val="20"/>
        </w:rPr>
      </w:pPr>
      <w:r>
        <w:rPr>
          <w:sz w:val="20"/>
          <w:szCs w:val="20"/>
        </w:rPr>
        <w:t xml:space="preserve">FG-PHARM-sss </w:t>
      </w:r>
      <w:r w:rsidRPr="00E74602">
        <w:rPr>
          <w:color w:val="0070C0"/>
          <w:sz w:val="20"/>
          <w:szCs w:val="20"/>
        </w:rPr>
        <w:t>Procès-verbal de destruction de stupéfiants</w:t>
      </w:r>
    </w:p>
    <w:p w:rsidR="004371CA" w:rsidRPr="00B82D6C" w:rsidRDefault="004371CA" w:rsidP="004371CA">
      <w:pPr>
        <w:spacing w:after="60"/>
        <w:rPr>
          <w:b/>
          <w:sz w:val="22"/>
          <w:szCs w:val="22"/>
          <w:u w:val="single"/>
        </w:rPr>
      </w:pPr>
      <w:r w:rsidRPr="00B82D6C">
        <w:rPr>
          <w:b/>
          <w:sz w:val="22"/>
          <w:szCs w:val="22"/>
          <w:u w:val="single"/>
        </w:rPr>
        <w:t>MODIFICATION</w:t>
      </w:r>
      <w:r w:rsidR="008218B0">
        <w:rPr>
          <w:b/>
          <w:sz w:val="22"/>
          <w:szCs w:val="22"/>
          <w:u w:val="single"/>
        </w:rPr>
        <w:t>S</w:t>
      </w:r>
      <w:r w:rsidRPr="00B82D6C">
        <w:rPr>
          <w:b/>
          <w:sz w:val="22"/>
          <w:szCs w:val="22"/>
          <w:u w:val="single"/>
        </w:rPr>
        <w:t xml:space="preserve"> : </w:t>
      </w:r>
    </w:p>
    <w:p w:rsidR="004371CA" w:rsidRPr="00B20737" w:rsidRDefault="004371CA" w:rsidP="004371CA">
      <w:pPr>
        <w:rPr>
          <w:sz w:val="20"/>
          <w:szCs w:val="20"/>
        </w:rPr>
      </w:pPr>
    </w:p>
    <w:tbl>
      <w:tblPr>
        <w:tblStyle w:val="Grilledutableau"/>
        <w:tblW w:w="10633" w:type="dxa"/>
        <w:jc w:val="center"/>
        <w:tblLook w:val="04A0" w:firstRow="1" w:lastRow="0" w:firstColumn="1" w:lastColumn="0" w:noHBand="0" w:noVBand="1"/>
      </w:tblPr>
      <w:tblGrid>
        <w:gridCol w:w="1560"/>
        <w:gridCol w:w="7371"/>
        <w:gridCol w:w="1702"/>
      </w:tblGrid>
      <w:tr w:rsidR="004371CA" w:rsidTr="00A059F3">
        <w:trPr>
          <w:trHeight w:val="454"/>
          <w:jc w:val="center"/>
        </w:trPr>
        <w:tc>
          <w:tcPr>
            <w:tcW w:w="1560" w:type="dxa"/>
            <w:vAlign w:val="center"/>
          </w:tcPr>
          <w:p w:rsidR="004371CA" w:rsidRDefault="004371CA" w:rsidP="00A059F3">
            <w:pPr>
              <w:jc w:val="center"/>
            </w:pPr>
            <w:r>
              <w:t>Version</w:t>
            </w:r>
          </w:p>
        </w:tc>
        <w:tc>
          <w:tcPr>
            <w:tcW w:w="7371" w:type="dxa"/>
            <w:vAlign w:val="center"/>
          </w:tcPr>
          <w:p w:rsidR="004371CA" w:rsidRDefault="004371CA" w:rsidP="00A059F3">
            <w:pPr>
              <w:jc w:val="center"/>
            </w:pPr>
            <w:r>
              <w:t>NATURE DE LA MODIFICATION</w:t>
            </w:r>
          </w:p>
        </w:tc>
        <w:tc>
          <w:tcPr>
            <w:tcW w:w="1702" w:type="dxa"/>
            <w:vAlign w:val="center"/>
          </w:tcPr>
          <w:p w:rsidR="004371CA" w:rsidRDefault="004371CA" w:rsidP="00A059F3">
            <w:pPr>
              <w:jc w:val="center"/>
            </w:pPr>
            <w:r>
              <w:t>PAGES</w:t>
            </w:r>
          </w:p>
        </w:tc>
      </w:tr>
      <w:tr w:rsidR="004371CA" w:rsidTr="00A059F3">
        <w:trPr>
          <w:trHeight w:val="289"/>
          <w:jc w:val="center"/>
        </w:trPr>
        <w:tc>
          <w:tcPr>
            <w:tcW w:w="1560" w:type="dxa"/>
            <w:vAlign w:val="center"/>
          </w:tcPr>
          <w:p w:rsidR="004371CA" w:rsidRDefault="004371CA" w:rsidP="00A059F3">
            <w:pPr>
              <w:jc w:val="center"/>
            </w:pPr>
          </w:p>
        </w:tc>
        <w:tc>
          <w:tcPr>
            <w:tcW w:w="7371" w:type="dxa"/>
            <w:vAlign w:val="center"/>
          </w:tcPr>
          <w:p w:rsidR="004371CA" w:rsidRDefault="004371CA" w:rsidP="00A059F3">
            <w:pPr>
              <w:jc w:val="center"/>
            </w:pPr>
          </w:p>
        </w:tc>
        <w:tc>
          <w:tcPr>
            <w:tcW w:w="1702" w:type="dxa"/>
            <w:vAlign w:val="center"/>
          </w:tcPr>
          <w:p w:rsidR="004371CA" w:rsidRDefault="004371CA" w:rsidP="00A059F3">
            <w:pPr>
              <w:jc w:val="center"/>
            </w:pPr>
          </w:p>
        </w:tc>
      </w:tr>
      <w:tr w:rsidR="004371CA" w:rsidTr="00A059F3">
        <w:trPr>
          <w:trHeight w:val="289"/>
          <w:jc w:val="center"/>
        </w:trPr>
        <w:tc>
          <w:tcPr>
            <w:tcW w:w="1560" w:type="dxa"/>
            <w:vAlign w:val="center"/>
          </w:tcPr>
          <w:p w:rsidR="004371CA" w:rsidRDefault="004371CA" w:rsidP="00A059F3">
            <w:pPr>
              <w:jc w:val="center"/>
            </w:pPr>
          </w:p>
        </w:tc>
        <w:tc>
          <w:tcPr>
            <w:tcW w:w="7371" w:type="dxa"/>
            <w:vAlign w:val="center"/>
          </w:tcPr>
          <w:p w:rsidR="004371CA" w:rsidRDefault="004371CA" w:rsidP="00A059F3">
            <w:pPr>
              <w:jc w:val="center"/>
            </w:pPr>
          </w:p>
        </w:tc>
        <w:tc>
          <w:tcPr>
            <w:tcW w:w="1702" w:type="dxa"/>
            <w:vAlign w:val="center"/>
          </w:tcPr>
          <w:p w:rsidR="004371CA" w:rsidRDefault="004371CA" w:rsidP="00A059F3">
            <w:pPr>
              <w:jc w:val="center"/>
            </w:pPr>
          </w:p>
        </w:tc>
      </w:tr>
      <w:tr w:rsidR="004371CA" w:rsidTr="00A059F3">
        <w:trPr>
          <w:trHeight w:val="289"/>
          <w:jc w:val="center"/>
        </w:trPr>
        <w:tc>
          <w:tcPr>
            <w:tcW w:w="1560" w:type="dxa"/>
            <w:vAlign w:val="center"/>
          </w:tcPr>
          <w:p w:rsidR="004371CA" w:rsidRDefault="004371CA" w:rsidP="00A059F3">
            <w:pPr>
              <w:jc w:val="center"/>
            </w:pPr>
          </w:p>
        </w:tc>
        <w:tc>
          <w:tcPr>
            <w:tcW w:w="7371" w:type="dxa"/>
            <w:vAlign w:val="center"/>
          </w:tcPr>
          <w:p w:rsidR="004371CA" w:rsidRDefault="004371CA" w:rsidP="00A059F3">
            <w:pPr>
              <w:jc w:val="center"/>
            </w:pPr>
          </w:p>
        </w:tc>
        <w:tc>
          <w:tcPr>
            <w:tcW w:w="1702" w:type="dxa"/>
            <w:vAlign w:val="center"/>
          </w:tcPr>
          <w:p w:rsidR="004371CA" w:rsidRDefault="004371CA" w:rsidP="00A059F3">
            <w:pPr>
              <w:jc w:val="center"/>
            </w:pPr>
          </w:p>
        </w:tc>
      </w:tr>
    </w:tbl>
    <w:p w:rsidR="00EA7C87" w:rsidRDefault="00EA7C87" w:rsidP="004371CA">
      <w:pPr>
        <w:rPr>
          <w:sz w:val="22"/>
          <w:szCs w:val="22"/>
        </w:rPr>
      </w:pPr>
    </w:p>
    <w:p w:rsidR="00DB2858" w:rsidRDefault="00DB2858" w:rsidP="00DB2858">
      <w:pPr>
        <w:rPr>
          <w:rFonts w:asciiTheme="minorHAnsi" w:hAnsiTheme="minorHAnsi"/>
          <w:b/>
          <w:sz w:val="28"/>
          <w:szCs w:val="28"/>
        </w:rPr>
      </w:pPr>
      <w:r w:rsidRPr="006A1834">
        <w:rPr>
          <w:rFonts w:asciiTheme="minorHAnsi" w:hAnsiTheme="minorHAnsi"/>
          <w:b/>
          <w:sz w:val="28"/>
          <w:szCs w:val="28"/>
          <w:highlight w:val="yellow"/>
        </w:rPr>
        <w:t>Objet</w:t>
      </w:r>
    </w:p>
    <w:p w:rsidR="00DB2858" w:rsidRPr="00DB2858" w:rsidRDefault="00DB2858" w:rsidP="00DB2858">
      <w:pPr>
        <w:rPr>
          <w:rFonts w:asciiTheme="minorHAnsi" w:hAnsiTheme="minorHAnsi"/>
          <w:b/>
          <w:sz w:val="28"/>
          <w:szCs w:val="28"/>
        </w:rPr>
      </w:pPr>
    </w:p>
    <w:p w:rsidR="008B6212" w:rsidRDefault="00E6738E" w:rsidP="002A62DE">
      <w:pPr>
        <w:pStyle w:val="Paragraphedeliste"/>
        <w:numPr>
          <w:ilvl w:val="0"/>
          <w:numId w:val="2"/>
        </w:numPr>
        <w:jc w:val="both"/>
      </w:pPr>
      <w:r>
        <w:t xml:space="preserve">Décrire </w:t>
      </w:r>
      <w:r w:rsidR="003F2524">
        <w:t xml:space="preserve">les modalités </w:t>
      </w:r>
      <w:r>
        <w:t>d</w:t>
      </w:r>
      <w:r w:rsidR="008B6212">
        <w:t xml:space="preserve">e dénaturation des stupéfiants </w:t>
      </w:r>
      <w:r w:rsidR="003929CE">
        <w:t>dans les cas précisés par la loi</w:t>
      </w:r>
    </w:p>
    <w:p w:rsidR="00DB2858" w:rsidRPr="00DB2858" w:rsidRDefault="00DB2858" w:rsidP="00DB2858">
      <w:pPr>
        <w:pStyle w:val="Paragraphedeliste"/>
        <w:jc w:val="both"/>
      </w:pPr>
    </w:p>
    <w:p w:rsidR="001D1654" w:rsidRDefault="001D1654" w:rsidP="00DB2858">
      <w:pPr>
        <w:rPr>
          <w:rFonts w:asciiTheme="minorHAnsi" w:hAnsiTheme="minorHAnsi"/>
          <w:b/>
          <w:sz w:val="28"/>
          <w:szCs w:val="28"/>
          <w:highlight w:val="yellow"/>
        </w:rPr>
      </w:pPr>
      <w:r>
        <w:rPr>
          <w:rFonts w:asciiTheme="minorHAnsi" w:hAnsiTheme="minorHAnsi"/>
          <w:b/>
          <w:sz w:val="28"/>
          <w:szCs w:val="28"/>
          <w:highlight w:val="yellow"/>
        </w:rPr>
        <w:t>Introduction</w:t>
      </w:r>
    </w:p>
    <w:p w:rsidR="001D1654" w:rsidRPr="001D1654" w:rsidRDefault="001D1654" w:rsidP="00DB2858">
      <w:pPr>
        <w:rPr>
          <w:rFonts w:asciiTheme="minorHAnsi" w:hAnsiTheme="minorHAnsi"/>
          <w:sz w:val="22"/>
          <w:szCs w:val="22"/>
          <w:highlight w:val="yellow"/>
        </w:rPr>
      </w:pPr>
    </w:p>
    <w:p w:rsidR="00D40941" w:rsidRDefault="001D1654" w:rsidP="001D1654">
      <w:pPr>
        <w:jc w:val="both"/>
        <w:rPr>
          <w:rFonts w:asciiTheme="minorHAnsi" w:hAnsiTheme="minorHAnsi"/>
          <w:sz w:val="22"/>
          <w:szCs w:val="22"/>
        </w:rPr>
      </w:pPr>
      <w:r w:rsidRPr="001D1654">
        <w:rPr>
          <w:rFonts w:asciiTheme="minorHAnsi" w:hAnsiTheme="minorHAnsi"/>
          <w:sz w:val="22"/>
          <w:szCs w:val="22"/>
        </w:rPr>
        <w:t>La loi du 12 mars 2013 met fin à l’obligation de faire appel à un huissier pour l’accompagnement à la destruction de stupéfiants</w:t>
      </w:r>
      <w:r w:rsidR="004640FF">
        <w:rPr>
          <w:rFonts w:asciiTheme="minorHAnsi" w:hAnsiTheme="minorHAnsi"/>
          <w:sz w:val="22"/>
          <w:szCs w:val="22"/>
        </w:rPr>
        <w:t xml:space="preserve"> et sa validation</w:t>
      </w:r>
      <w:r w:rsidRPr="001D1654">
        <w:rPr>
          <w:rFonts w:asciiTheme="minorHAnsi" w:hAnsiTheme="minorHAnsi"/>
          <w:sz w:val="22"/>
          <w:szCs w:val="22"/>
        </w:rPr>
        <w:t>. Elle permet à deux pharmaciens gérants de PUI (ou deux pharmaciens gérant d’officine) d’attester de l’application rigoureuse de la loi. La destruction (dénaturation) est sérieusement encadrée en amont (demande d’autorisation, signalement et accord du pharmacien témoin proposé) et en aval (PV de destruction</w:t>
      </w:r>
      <w:r>
        <w:rPr>
          <w:rFonts w:asciiTheme="minorHAnsi" w:hAnsiTheme="minorHAnsi"/>
          <w:sz w:val="22"/>
          <w:szCs w:val="22"/>
        </w:rPr>
        <w:t>, enregistrement auprès des autorités</w:t>
      </w:r>
      <w:r w:rsidRPr="001D1654">
        <w:rPr>
          <w:rFonts w:asciiTheme="minorHAnsi" w:hAnsiTheme="minorHAnsi"/>
          <w:sz w:val="22"/>
          <w:szCs w:val="22"/>
        </w:rPr>
        <w:t>)</w:t>
      </w:r>
      <w:r>
        <w:rPr>
          <w:rFonts w:asciiTheme="minorHAnsi" w:hAnsiTheme="minorHAnsi"/>
          <w:sz w:val="22"/>
          <w:szCs w:val="22"/>
        </w:rPr>
        <w:t>.</w:t>
      </w:r>
      <w:r w:rsidR="004640FF">
        <w:rPr>
          <w:rFonts w:asciiTheme="minorHAnsi" w:hAnsiTheme="minorHAnsi"/>
          <w:sz w:val="22"/>
          <w:szCs w:val="22"/>
        </w:rPr>
        <w:t xml:space="preserve"> La loi introduit la notion de pharmacien ‘témoin’</w:t>
      </w:r>
      <w:r w:rsidR="004C3078">
        <w:rPr>
          <w:rFonts w:asciiTheme="minorHAnsi" w:hAnsiTheme="minorHAnsi"/>
          <w:sz w:val="22"/>
          <w:szCs w:val="22"/>
        </w:rPr>
        <w:t xml:space="preserve"> (</w:t>
      </w:r>
      <w:r w:rsidR="004C3078" w:rsidRPr="004C3078">
        <w:rPr>
          <w:rFonts w:asciiTheme="minorHAnsi" w:hAnsiTheme="minorHAnsi"/>
          <w:i/>
          <w:sz w:val="22"/>
          <w:szCs w:val="22"/>
        </w:rPr>
        <w:t>cf</w:t>
      </w:r>
      <w:r w:rsidR="004C3078">
        <w:rPr>
          <w:rFonts w:asciiTheme="minorHAnsi" w:hAnsiTheme="minorHAnsi"/>
          <w:sz w:val="22"/>
          <w:szCs w:val="22"/>
        </w:rPr>
        <w:t xml:space="preserve"> ARS Aquitaine)</w:t>
      </w:r>
      <w:r w:rsidR="004640FF">
        <w:rPr>
          <w:rFonts w:asciiTheme="minorHAnsi" w:hAnsiTheme="minorHAnsi"/>
          <w:sz w:val="22"/>
          <w:szCs w:val="22"/>
        </w:rPr>
        <w:t xml:space="preserve">. </w:t>
      </w:r>
    </w:p>
    <w:p w:rsidR="00D40941" w:rsidRPr="001D1654" w:rsidRDefault="00D40941" w:rsidP="001D1654">
      <w:pPr>
        <w:jc w:val="both"/>
        <w:rPr>
          <w:rFonts w:asciiTheme="minorHAnsi" w:hAnsiTheme="minorHAnsi"/>
          <w:sz w:val="22"/>
          <w:szCs w:val="22"/>
        </w:rPr>
      </w:pPr>
    </w:p>
    <w:p w:rsidR="001D1654" w:rsidRPr="001D1654" w:rsidRDefault="001D1654" w:rsidP="00DB2858">
      <w:pPr>
        <w:rPr>
          <w:rFonts w:asciiTheme="minorHAnsi" w:hAnsiTheme="minorHAnsi"/>
          <w:sz w:val="22"/>
          <w:szCs w:val="22"/>
          <w:highlight w:val="yellow"/>
        </w:rPr>
      </w:pPr>
    </w:p>
    <w:p w:rsidR="0087669E" w:rsidRDefault="0087669E" w:rsidP="00DB2858">
      <w:pPr>
        <w:rPr>
          <w:rFonts w:asciiTheme="minorHAnsi" w:hAnsiTheme="minorHAnsi"/>
          <w:b/>
          <w:sz w:val="28"/>
          <w:szCs w:val="28"/>
          <w:highlight w:val="yellow"/>
        </w:rPr>
      </w:pPr>
      <w:r>
        <w:rPr>
          <w:rFonts w:asciiTheme="minorHAnsi" w:hAnsiTheme="minorHAnsi"/>
          <w:b/>
          <w:sz w:val="28"/>
          <w:szCs w:val="28"/>
          <w:highlight w:val="yellow"/>
        </w:rPr>
        <w:t>Produits concernés</w:t>
      </w:r>
    </w:p>
    <w:p w:rsidR="00DB2858" w:rsidRDefault="00DB2858" w:rsidP="00DB2858">
      <w:pPr>
        <w:rPr>
          <w:rFonts w:asciiTheme="minorHAnsi" w:hAnsiTheme="minorHAnsi"/>
          <w:sz w:val="22"/>
          <w:szCs w:val="22"/>
        </w:rPr>
      </w:pPr>
    </w:p>
    <w:p w:rsidR="003929CE" w:rsidRDefault="003929CE" w:rsidP="002A62DE">
      <w:pPr>
        <w:pStyle w:val="Paragraphedeliste"/>
        <w:numPr>
          <w:ilvl w:val="0"/>
          <w:numId w:val="4"/>
        </w:numPr>
      </w:pPr>
      <w:r w:rsidRPr="003929CE">
        <w:t>Stupéfiants gérés légalement :</w:t>
      </w:r>
    </w:p>
    <w:p w:rsidR="003929CE" w:rsidRPr="003929CE" w:rsidRDefault="003929CE" w:rsidP="003929CE">
      <w:pPr>
        <w:pStyle w:val="Paragraphedeliste"/>
        <w:ind w:left="360"/>
      </w:pPr>
    </w:p>
    <w:p w:rsidR="008B6212" w:rsidRDefault="0087669E" w:rsidP="002A62DE">
      <w:pPr>
        <w:pStyle w:val="Paragraphedeliste"/>
        <w:numPr>
          <w:ilvl w:val="0"/>
          <w:numId w:val="2"/>
        </w:numPr>
        <w:jc w:val="both"/>
      </w:pPr>
      <w:r>
        <w:t xml:space="preserve">Stupéfiants </w:t>
      </w:r>
      <w:r w:rsidRPr="00DB39F1">
        <w:rPr>
          <w:b/>
          <w:color w:val="FF0000"/>
          <w:u w:val="single"/>
        </w:rPr>
        <w:t>périmés</w:t>
      </w:r>
      <w:r>
        <w:t xml:space="preserve"> </w:t>
      </w:r>
      <w:r w:rsidR="003929CE">
        <w:t xml:space="preserve">et stockés </w:t>
      </w:r>
      <w:r>
        <w:t>à la PUI</w:t>
      </w:r>
    </w:p>
    <w:p w:rsidR="0087669E" w:rsidRDefault="0087669E" w:rsidP="002A62DE">
      <w:pPr>
        <w:pStyle w:val="Paragraphedeliste"/>
        <w:numPr>
          <w:ilvl w:val="0"/>
          <w:numId w:val="2"/>
        </w:numPr>
        <w:jc w:val="both"/>
      </w:pPr>
      <w:r>
        <w:t xml:space="preserve">Stupéfiants </w:t>
      </w:r>
      <w:r w:rsidRPr="00DB39F1">
        <w:rPr>
          <w:b/>
          <w:color w:val="FF0000"/>
          <w:u w:val="single"/>
        </w:rPr>
        <w:t>périmés</w:t>
      </w:r>
      <w:r>
        <w:t xml:space="preserve"> </w:t>
      </w:r>
      <w:r w:rsidR="003929CE">
        <w:t xml:space="preserve">et stockés </w:t>
      </w:r>
      <w:r>
        <w:t xml:space="preserve">dans les services </w:t>
      </w:r>
      <w:r w:rsidR="003929CE">
        <w:t>puis</w:t>
      </w:r>
      <w:r>
        <w:t xml:space="preserve"> retournés à la PUI (ci-dessus)</w:t>
      </w:r>
    </w:p>
    <w:p w:rsidR="003929CE" w:rsidRDefault="0087669E" w:rsidP="002A62DE">
      <w:pPr>
        <w:pStyle w:val="Paragraphedeliste"/>
        <w:numPr>
          <w:ilvl w:val="0"/>
          <w:numId w:val="2"/>
        </w:numPr>
        <w:jc w:val="both"/>
      </w:pPr>
      <w:r>
        <w:t xml:space="preserve">Stupéfiants </w:t>
      </w:r>
      <w:r w:rsidRPr="00DB39F1">
        <w:rPr>
          <w:b/>
          <w:color w:val="FF0000"/>
          <w:u w:val="single"/>
        </w:rPr>
        <w:t>altérés</w:t>
      </w:r>
    </w:p>
    <w:p w:rsidR="003929CE" w:rsidRPr="003929CE" w:rsidRDefault="003929CE" w:rsidP="003929CE">
      <w:pPr>
        <w:pStyle w:val="Paragraphedeliste"/>
        <w:ind w:left="360"/>
        <w:jc w:val="both"/>
      </w:pPr>
    </w:p>
    <w:p w:rsidR="003929CE" w:rsidRDefault="003929CE" w:rsidP="002A62DE">
      <w:pPr>
        <w:pStyle w:val="Paragraphedeliste"/>
        <w:numPr>
          <w:ilvl w:val="0"/>
          <w:numId w:val="5"/>
        </w:numPr>
      </w:pPr>
      <w:r w:rsidRPr="003929CE">
        <w:t>Stupéfiants illégaux :</w:t>
      </w:r>
    </w:p>
    <w:p w:rsidR="003929CE" w:rsidRPr="003929CE" w:rsidRDefault="003929CE" w:rsidP="003929CE">
      <w:pPr>
        <w:pStyle w:val="Paragraphedeliste"/>
        <w:ind w:left="360"/>
      </w:pPr>
    </w:p>
    <w:p w:rsidR="0087669E" w:rsidRDefault="0087669E" w:rsidP="002A62DE">
      <w:pPr>
        <w:pStyle w:val="Paragraphedeliste"/>
        <w:numPr>
          <w:ilvl w:val="0"/>
          <w:numId w:val="2"/>
        </w:numPr>
        <w:jc w:val="both"/>
      </w:pPr>
      <w:r>
        <w:t xml:space="preserve">sont déclarés </w:t>
      </w:r>
      <w:r w:rsidRPr="00DB39F1">
        <w:rPr>
          <w:b/>
          <w:color w:val="00B050"/>
          <w:u w:val="single"/>
        </w:rPr>
        <w:t>illégaux</w:t>
      </w:r>
      <w:r>
        <w:t xml:space="preserve"> </w:t>
      </w:r>
    </w:p>
    <w:p w:rsidR="0087669E" w:rsidRDefault="0087669E" w:rsidP="002A62DE">
      <w:pPr>
        <w:pStyle w:val="Paragraphedeliste"/>
        <w:numPr>
          <w:ilvl w:val="1"/>
          <w:numId w:val="2"/>
        </w:numPr>
        <w:jc w:val="both"/>
      </w:pPr>
      <w:r>
        <w:t>les produits non prescrits</w:t>
      </w:r>
      <w:r w:rsidR="003929CE">
        <w:t xml:space="preserve"> (ville ou hôpital)</w:t>
      </w:r>
      <w:r>
        <w:t> : il n’y a aucune traçabilité* dans le registre</w:t>
      </w:r>
    </w:p>
    <w:p w:rsidR="001D1654" w:rsidRDefault="0087669E" w:rsidP="002A62DE">
      <w:pPr>
        <w:pStyle w:val="Paragraphedeliste"/>
        <w:numPr>
          <w:ilvl w:val="1"/>
          <w:numId w:val="2"/>
        </w:numPr>
        <w:jc w:val="both"/>
      </w:pPr>
      <w:r>
        <w:t xml:space="preserve">les produits apportés par le patient </w:t>
      </w:r>
    </w:p>
    <w:p w:rsidR="001D1654" w:rsidRDefault="001D1654" w:rsidP="002A62DE">
      <w:pPr>
        <w:pStyle w:val="Paragraphedeliste"/>
        <w:numPr>
          <w:ilvl w:val="2"/>
          <w:numId w:val="2"/>
        </w:numPr>
        <w:jc w:val="both"/>
      </w:pPr>
      <w:r>
        <w:t xml:space="preserve">soit </w:t>
      </w:r>
      <w:r w:rsidR="0087669E">
        <w:t>sans prescription (</w:t>
      </w:r>
      <w:r>
        <w:t xml:space="preserve">mais </w:t>
      </w:r>
      <w:r w:rsidR="0087669E">
        <w:t xml:space="preserve">le DP permettra de nuancer cette notion) ou </w:t>
      </w:r>
    </w:p>
    <w:p w:rsidR="0087669E" w:rsidRDefault="001D1654" w:rsidP="002A62DE">
      <w:pPr>
        <w:pStyle w:val="Paragraphedeliste"/>
        <w:numPr>
          <w:ilvl w:val="2"/>
          <w:numId w:val="2"/>
        </w:numPr>
        <w:jc w:val="both"/>
      </w:pPr>
      <w:r>
        <w:t xml:space="preserve">soit </w:t>
      </w:r>
      <w:r w:rsidR="0087669E">
        <w:t xml:space="preserve">avec prescription : ils </w:t>
      </w:r>
      <w:r w:rsidR="003929CE">
        <w:t xml:space="preserve">doivent être redonnés au patient ou détruits selon la procédure – </w:t>
      </w:r>
      <w:r w:rsidR="003929CE" w:rsidRPr="003929CE">
        <w:rPr>
          <w:i/>
        </w:rPr>
        <w:t xml:space="preserve">cf </w:t>
      </w:r>
      <w:r w:rsidR="003929CE" w:rsidRPr="003929CE">
        <w:t>colonne à renseigner</w:t>
      </w:r>
      <w:r w:rsidR="003929CE">
        <w:rPr>
          <w:i/>
        </w:rPr>
        <w:t xml:space="preserve"> : </w:t>
      </w:r>
      <w:r w:rsidR="003929CE">
        <w:t>« </w:t>
      </w:r>
      <w:r w:rsidR="003929CE" w:rsidRPr="003929CE">
        <w:rPr>
          <w:i/>
        </w:rPr>
        <w:t>produit retourné (hors comp</w:t>
      </w:r>
      <w:r>
        <w:rPr>
          <w:i/>
        </w:rPr>
        <w:t>t</w:t>
      </w:r>
      <w:r w:rsidR="003929CE" w:rsidRPr="003929CE">
        <w:rPr>
          <w:i/>
        </w:rPr>
        <w:t>abilité stupéfiants </w:t>
      </w:r>
      <w:r w:rsidR="003929CE">
        <w:t>»)</w:t>
      </w:r>
    </w:p>
    <w:p w:rsidR="003929CE" w:rsidRDefault="0087669E" w:rsidP="002A62DE">
      <w:pPr>
        <w:pStyle w:val="Paragraphedeliste"/>
        <w:numPr>
          <w:ilvl w:val="1"/>
          <w:numId w:val="2"/>
        </w:numPr>
        <w:jc w:val="both"/>
      </w:pPr>
      <w:r>
        <w:t>les produits apportés</w:t>
      </w:r>
      <w:r w:rsidR="003929CE">
        <w:t xml:space="preserve"> ne faisant pas partie de la pharmacopée officielle (</w:t>
      </w:r>
      <w:r w:rsidR="001D1654">
        <w:t>drogues</w:t>
      </w:r>
      <w:r w:rsidR="003929CE">
        <w:t xml:space="preserve">, </w:t>
      </w:r>
      <w:r w:rsidR="001D1654">
        <w:t xml:space="preserve">‘herbe’ ou </w:t>
      </w:r>
      <w:r w:rsidR="003929CE">
        <w:t>autres produits de toxicomanie …)</w:t>
      </w:r>
    </w:p>
    <w:p w:rsidR="003929CE" w:rsidRDefault="003929CE" w:rsidP="003929CE">
      <w:pPr>
        <w:pStyle w:val="Paragraphedeliste"/>
        <w:ind w:left="1080"/>
        <w:jc w:val="both"/>
      </w:pPr>
    </w:p>
    <w:p w:rsidR="001D1654" w:rsidRDefault="001D1654" w:rsidP="002A62DE">
      <w:pPr>
        <w:pStyle w:val="Paragraphedeliste"/>
        <w:numPr>
          <w:ilvl w:val="0"/>
          <w:numId w:val="6"/>
        </w:numPr>
        <w:jc w:val="both"/>
      </w:pPr>
      <w:r>
        <w:t xml:space="preserve">remarques </w:t>
      </w:r>
      <w:r w:rsidR="0087669E" w:rsidRPr="003929CE">
        <w:t xml:space="preserve">: </w:t>
      </w:r>
    </w:p>
    <w:p w:rsidR="001D1654" w:rsidRDefault="001D1654" w:rsidP="001D1654">
      <w:pPr>
        <w:pStyle w:val="Paragraphedeliste"/>
        <w:ind w:left="360"/>
        <w:jc w:val="both"/>
      </w:pPr>
    </w:p>
    <w:p w:rsidR="0087669E" w:rsidRDefault="0087669E" w:rsidP="002A62DE">
      <w:pPr>
        <w:pStyle w:val="Paragraphedeliste"/>
        <w:numPr>
          <w:ilvl w:val="1"/>
          <w:numId w:val="6"/>
        </w:numPr>
        <w:jc w:val="both"/>
      </w:pPr>
      <w:r w:rsidRPr="003929CE">
        <w:t xml:space="preserve">la </w:t>
      </w:r>
      <w:r w:rsidR="003929CE" w:rsidRPr="003929CE">
        <w:t>*</w:t>
      </w:r>
      <w:r w:rsidRPr="003929CE">
        <w:t>traçabilité complète comprend : la commande au fournisseur</w:t>
      </w:r>
      <w:r w:rsidR="001D1654">
        <w:t xml:space="preserve"> sur HODIS</w:t>
      </w:r>
      <w:r w:rsidRPr="003929CE">
        <w:t xml:space="preserve">, la réception </w:t>
      </w:r>
      <w:r w:rsidR="001D1654">
        <w:t xml:space="preserve">dans HODIS </w:t>
      </w:r>
      <w:r w:rsidRPr="003929CE">
        <w:t xml:space="preserve">et son enregistrement sur le registre comptable, </w:t>
      </w:r>
      <w:r w:rsidR="003929CE" w:rsidRPr="003929CE">
        <w:t>la prescription médicale</w:t>
      </w:r>
      <w:r w:rsidR="001D1654">
        <w:t xml:space="preserve"> sur </w:t>
      </w:r>
      <w:r w:rsidR="001D1654">
        <w:lastRenderedPageBreak/>
        <w:t>OSIRIS et le carnet de prescription Berger-Levrault</w:t>
      </w:r>
      <w:r w:rsidR="003929CE" w:rsidRPr="003929CE">
        <w:t xml:space="preserve">, </w:t>
      </w:r>
      <w:r w:rsidRPr="003929CE">
        <w:t xml:space="preserve">l’enregistrement de la prescription sur l’ordonnancier et le registre comptable, </w:t>
      </w:r>
      <w:r w:rsidR="001D1654">
        <w:t xml:space="preserve">le relevé des lots attribués, </w:t>
      </w:r>
      <w:r w:rsidRPr="003929CE">
        <w:t>l’administration au patient. Un produit non commandé par la PUI ne peut être incorporé en son stock et donc ne peut être utilisé. Un signalement à la gendarmerie s’impose puisque la détention de ce produit devient illégale. Sont inclus les produits de toxicomanie.</w:t>
      </w:r>
    </w:p>
    <w:p w:rsidR="001D1654" w:rsidRPr="003929CE" w:rsidRDefault="001D1654" w:rsidP="002A62DE">
      <w:pPr>
        <w:pStyle w:val="Paragraphedeliste"/>
        <w:numPr>
          <w:ilvl w:val="1"/>
          <w:numId w:val="6"/>
        </w:numPr>
        <w:jc w:val="both"/>
      </w:pPr>
      <w:r>
        <w:t>Les produits arrêtés dans le service pour cause de décès ou de départ vers un autre lieu d’hospitalisation ne font partie des produits à détruire bien évidemment : ils font l’objet d’un ‘retour’ en informatique et sur le registre</w:t>
      </w:r>
    </w:p>
    <w:p w:rsidR="00E6738E" w:rsidRPr="00E6738E" w:rsidRDefault="00E6738E" w:rsidP="00B5460E">
      <w:pPr>
        <w:rPr>
          <w:rFonts w:asciiTheme="minorHAnsi" w:hAnsiTheme="minorHAnsi"/>
          <w:sz w:val="22"/>
          <w:szCs w:val="22"/>
        </w:rPr>
      </w:pPr>
    </w:p>
    <w:p w:rsidR="008B6212" w:rsidRDefault="00490119" w:rsidP="00B5460E">
      <w:pPr>
        <w:rPr>
          <w:rFonts w:asciiTheme="minorHAnsi" w:hAnsiTheme="minorHAnsi"/>
          <w:b/>
          <w:sz w:val="28"/>
          <w:szCs w:val="28"/>
          <w:highlight w:val="yellow"/>
        </w:rPr>
      </w:pPr>
      <w:r>
        <w:rPr>
          <w:rFonts w:asciiTheme="minorHAnsi" w:hAnsiTheme="minorHAnsi"/>
          <w:b/>
          <w:sz w:val="28"/>
          <w:szCs w:val="28"/>
          <w:highlight w:val="yellow"/>
        </w:rPr>
        <w:t>En pratique : les étapes</w:t>
      </w:r>
    </w:p>
    <w:p w:rsidR="00E6738E" w:rsidRDefault="00E6738E" w:rsidP="00B5460E">
      <w:pPr>
        <w:rPr>
          <w:rFonts w:asciiTheme="minorHAnsi" w:hAnsiTheme="minorHAnsi"/>
          <w:sz w:val="22"/>
          <w:szCs w:val="22"/>
        </w:rPr>
      </w:pPr>
    </w:p>
    <w:p w:rsidR="000A2DD8" w:rsidRPr="004640FF" w:rsidRDefault="000A2B9F" w:rsidP="00B5460E">
      <w:pPr>
        <w:rPr>
          <w:rFonts w:asciiTheme="minorHAnsi" w:hAnsiTheme="minorHAnsi"/>
          <w:b/>
          <w:sz w:val="22"/>
          <w:szCs w:val="22"/>
        </w:rPr>
      </w:pPr>
      <w:r w:rsidRPr="004640FF">
        <w:rPr>
          <w:rFonts w:asciiTheme="minorHAnsi" w:hAnsiTheme="minorHAnsi"/>
          <w:b/>
          <w:sz w:val="22"/>
          <w:szCs w:val="22"/>
        </w:rPr>
        <w:t>Pharmacien commanditaire</w:t>
      </w:r>
      <w:r w:rsidR="00D40941">
        <w:rPr>
          <w:rFonts w:asciiTheme="minorHAnsi" w:hAnsiTheme="minorHAnsi"/>
          <w:b/>
          <w:sz w:val="22"/>
          <w:szCs w:val="22"/>
        </w:rPr>
        <w:t> : le pharmacien-gérant de la PUI</w:t>
      </w:r>
    </w:p>
    <w:p w:rsidR="000A2B9F" w:rsidRDefault="000A2B9F" w:rsidP="00B5460E">
      <w:pPr>
        <w:rPr>
          <w:rFonts w:asciiTheme="minorHAnsi" w:hAnsiTheme="minorHAnsi"/>
          <w:sz w:val="22"/>
          <w:szCs w:val="22"/>
        </w:rPr>
      </w:pPr>
    </w:p>
    <w:p w:rsidR="000A2B9F" w:rsidRDefault="000A2B9F" w:rsidP="002A62DE">
      <w:pPr>
        <w:pStyle w:val="Paragraphedeliste"/>
        <w:numPr>
          <w:ilvl w:val="0"/>
          <w:numId w:val="9"/>
        </w:numPr>
        <w:jc w:val="both"/>
      </w:pPr>
      <w:r w:rsidRPr="004640FF">
        <w:t>Un mois avant l’opération</w:t>
      </w:r>
      <w:r w:rsidR="00D40941">
        <w:t xml:space="preserve"> il envoie</w:t>
      </w:r>
      <w:r w:rsidRPr="004640FF">
        <w:t xml:space="preserve"> l’information par mail à l’ARS et au Conseil Régional de l’Ordre des Pharmaciens</w:t>
      </w:r>
      <w:r w:rsidR="00941EEB">
        <w:t>. Deux cas peuvent être envisagés.</w:t>
      </w:r>
    </w:p>
    <w:p w:rsidR="00941EEB" w:rsidRDefault="00941EEB" w:rsidP="002A62DE">
      <w:pPr>
        <w:pStyle w:val="Paragraphedeliste"/>
        <w:numPr>
          <w:ilvl w:val="0"/>
          <w:numId w:val="9"/>
        </w:numPr>
        <w:jc w:val="both"/>
      </w:pPr>
      <w:r>
        <w:t xml:space="preserve">Cas n°1 : </w:t>
      </w:r>
      <w:r w:rsidR="000A2B9F" w:rsidRPr="004640FF">
        <w:t>le pharmacien précise le nom du pharmacien témoin qu’il aura choisi sur la liste disponible sur le site de l’ordre</w:t>
      </w:r>
      <w:r w:rsidR="004640FF">
        <w:t xml:space="preserve">. </w:t>
      </w:r>
    </w:p>
    <w:p w:rsidR="000A2B9F" w:rsidRPr="004640FF" w:rsidRDefault="00941EEB" w:rsidP="002A62DE">
      <w:pPr>
        <w:pStyle w:val="Paragraphedeliste"/>
        <w:numPr>
          <w:ilvl w:val="0"/>
          <w:numId w:val="9"/>
        </w:numPr>
        <w:jc w:val="both"/>
      </w:pPr>
      <w:r>
        <w:t xml:space="preserve">Cas n°2 : il sollicite </w:t>
      </w:r>
      <w:r w:rsidR="004640FF">
        <w:t xml:space="preserve">le Conseil </w:t>
      </w:r>
      <w:r>
        <w:t xml:space="preserve">National de </w:t>
      </w:r>
      <w:r w:rsidR="004640FF">
        <w:t>l’Ordre lui-même qui désignera ce pharmacien témoin</w:t>
      </w:r>
      <w:r>
        <w:t xml:space="preserve"> [</w:t>
      </w:r>
      <w:r w:rsidRPr="00941EEB">
        <w:rPr>
          <w:i/>
        </w:rPr>
        <w:t xml:space="preserve">cf </w:t>
      </w:r>
      <w:r>
        <w:t>courrier-type en annexe]</w:t>
      </w:r>
    </w:p>
    <w:p w:rsidR="008406B2" w:rsidRDefault="008406B2" w:rsidP="00B5460E">
      <w:pPr>
        <w:rPr>
          <w:rFonts w:asciiTheme="minorHAnsi" w:hAnsiTheme="minorHAnsi"/>
          <w:sz w:val="22"/>
          <w:szCs w:val="22"/>
        </w:rPr>
      </w:pPr>
    </w:p>
    <w:p w:rsidR="000A2B9F" w:rsidRPr="00DB39F1" w:rsidRDefault="000A2B9F" w:rsidP="00B5460E">
      <w:pPr>
        <w:rPr>
          <w:rFonts w:asciiTheme="minorHAnsi" w:hAnsiTheme="minorHAnsi"/>
          <w:b/>
          <w:sz w:val="22"/>
          <w:szCs w:val="22"/>
        </w:rPr>
      </w:pPr>
      <w:r w:rsidRPr="00DB39F1">
        <w:rPr>
          <w:rFonts w:asciiTheme="minorHAnsi" w:hAnsiTheme="minorHAnsi"/>
          <w:b/>
          <w:sz w:val="22"/>
          <w:szCs w:val="22"/>
        </w:rPr>
        <w:t>Président du CROP du Centre</w:t>
      </w:r>
    </w:p>
    <w:p w:rsidR="000A2B9F" w:rsidRDefault="000A2B9F" w:rsidP="00B5460E">
      <w:pPr>
        <w:rPr>
          <w:rFonts w:asciiTheme="minorHAnsi" w:hAnsiTheme="minorHAnsi"/>
          <w:sz w:val="22"/>
          <w:szCs w:val="22"/>
        </w:rPr>
      </w:pPr>
    </w:p>
    <w:p w:rsidR="000A2B9F" w:rsidRPr="004640FF" w:rsidRDefault="008406B2" w:rsidP="002A62DE">
      <w:pPr>
        <w:pStyle w:val="Paragraphedeliste"/>
        <w:numPr>
          <w:ilvl w:val="0"/>
          <w:numId w:val="10"/>
        </w:numPr>
      </w:pPr>
      <w:r w:rsidRPr="004640FF">
        <w:t>Il vérifie la capacité de pharmacien témoin proposé pour remplir la mission (absence de toute situation de réciprocité et conflit d’intérêt)</w:t>
      </w:r>
    </w:p>
    <w:p w:rsidR="008406B2" w:rsidRPr="004640FF" w:rsidRDefault="008406B2" w:rsidP="002A62DE">
      <w:pPr>
        <w:pStyle w:val="Paragraphedeliste"/>
        <w:numPr>
          <w:ilvl w:val="0"/>
          <w:numId w:val="10"/>
        </w:numPr>
      </w:pPr>
      <w:r w:rsidRPr="004640FF">
        <w:t xml:space="preserve">Il valide la proposition ou au besoin </w:t>
      </w:r>
      <w:r w:rsidR="00A7367E">
        <w:t xml:space="preserve">désigne lui-même le confrère habilité à surveiller l’opération </w:t>
      </w:r>
    </w:p>
    <w:p w:rsidR="008406B2" w:rsidRPr="004640FF" w:rsidRDefault="008406B2" w:rsidP="002A62DE">
      <w:pPr>
        <w:pStyle w:val="Paragraphedeliste"/>
        <w:numPr>
          <w:ilvl w:val="0"/>
          <w:numId w:val="10"/>
        </w:numPr>
      </w:pPr>
      <w:r w:rsidRPr="004640FF">
        <w:t>Il signale son accord au pharmacien commanditaire en lui transmettant un PV vierge</w:t>
      </w:r>
    </w:p>
    <w:p w:rsidR="008406B2" w:rsidRDefault="008406B2" w:rsidP="00B5460E">
      <w:pPr>
        <w:rPr>
          <w:rFonts w:asciiTheme="minorHAnsi" w:hAnsiTheme="minorHAnsi"/>
          <w:sz w:val="22"/>
          <w:szCs w:val="22"/>
        </w:rPr>
      </w:pPr>
    </w:p>
    <w:p w:rsidR="000A2B9F" w:rsidRPr="00DB39F1" w:rsidRDefault="000A2B9F" w:rsidP="00B5460E">
      <w:pPr>
        <w:rPr>
          <w:rFonts w:asciiTheme="minorHAnsi" w:hAnsiTheme="minorHAnsi"/>
          <w:b/>
          <w:sz w:val="22"/>
          <w:szCs w:val="22"/>
        </w:rPr>
      </w:pPr>
      <w:r w:rsidRPr="00DB39F1">
        <w:rPr>
          <w:rFonts w:asciiTheme="minorHAnsi" w:hAnsiTheme="minorHAnsi"/>
          <w:b/>
          <w:sz w:val="22"/>
          <w:szCs w:val="22"/>
        </w:rPr>
        <w:t>Pharmacien témoin</w:t>
      </w:r>
      <w:r w:rsidR="00D40941">
        <w:rPr>
          <w:rFonts w:asciiTheme="minorHAnsi" w:hAnsiTheme="minorHAnsi"/>
          <w:b/>
          <w:sz w:val="22"/>
          <w:szCs w:val="22"/>
        </w:rPr>
        <w:t> : pharmacien-gérant d’une autre PUI</w:t>
      </w:r>
    </w:p>
    <w:p w:rsidR="000A2B9F" w:rsidRDefault="000A2B9F" w:rsidP="00B5460E">
      <w:pPr>
        <w:rPr>
          <w:rFonts w:asciiTheme="minorHAnsi" w:hAnsiTheme="minorHAnsi"/>
          <w:sz w:val="22"/>
          <w:szCs w:val="22"/>
        </w:rPr>
      </w:pPr>
    </w:p>
    <w:p w:rsidR="000A2B9F" w:rsidRDefault="008406B2" w:rsidP="002A62DE">
      <w:pPr>
        <w:pStyle w:val="Paragraphedeliste"/>
        <w:numPr>
          <w:ilvl w:val="0"/>
          <w:numId w:val="11"/>
        </w:numPr>
        <w:jc w:val="both"/>
      </w:pPr>
      <w:r w:rsidRPr="004640FF">
        <w:t>Il assure une « prestation de service » à titre gratuit sous la responsabilité du confrère commanditaire (c’est l’assurance professionnelle de celui-ci qui couvre l’opération. Les frais de déplacement peuvent être réglés par ce dernier)</w:t>
      </w:r>
    </w:p>
    <w:p w:rsidR="008406B2" w:rsidRDefault="008406B2" w:rsidP="00B5460E">
      <w:pPr>
        <w:rPr>
          <w:rFonts w:asciiTheme="minorHAnsi" w:hAnsiTheme="minorHAnsi"/>
          <w:sz w:val="22"/>
          <w:szCs w:val="22"/>
        </w:rPr>
      </w:pPr>
    </w:p>
    <w:p w:rsidR="000A2B9F" w:rsidRPr="00DB39F1" w:rsidRDefault="000A2B9F" w:rsidP="00B5460E">
      <w:pPr>
        <w:rPr>
          <w:rFonts w:asciiTheme="minorHAnsi" w:hAnsiTheme="minorHAnsi"/>
          <w:b/>
          <w:sz w:val="22"/>
          <w:szCs w:val="22"/>
        </w:rPr>
      </w:pPr>
      <w:r w:rsidRPr="00DB39F1">
        <w:rPr>
          <w:rFonts w:asciiTheme="minorHAnsi" w:hAnsiTheme="minorHAnsi"/>
          <w:b/>
          <w:sz w:val="22"/>
          <w:szCs w:val="22"/>
        </w:rPr>
        <w:t>Procédure de dénaturation</w:t>
      </w:r>
    </w:p>
    <w:p w:rsidR="000A2B9F" w:rsidRDefault="000A2B9F" w:rsidP="00B5460E">
      <w:pPr>
        <w:rPr>
          <w:rFonts w:asciiTheme="minorHAnsi" w:hAnsiTheme="minorHAnsi"/>
          <w:sz w:val="22"/>
          <w:szCs w:val="22"/>
        </w:rPr>
      </w:pPr>
    </w:p>
    <w:p w:rsidR="00490119" w:rsidRPr="00490119" w:rsidRDefault="00490119" w:rsidP="002A62DE">
      <w:pPr>
        <w:pStyle w:val="Textebrut"/>
        <w:numPr>
          <w:ilvl w:val="0"/>
          <w:numId w:val="2"/>
        </w:numPr>
        <w:autoSpaceDE w:val="0"/>
        <w:autoSpaceDN w:val="0"/>
        <w:adjustRightInd w:val="0"/>
        <w:jc w:val="both"/>
        <w:rPr>
          <w:rFonts w:asciiTheme="minorHAnsi" w:hAnsiTheme="minorHAnsi" w:cs="Arial"/>
          <w:bCs/>
          <w:color w:val="003365"/>
          <w:sz w:val="22"/>
          <w:szCs w:val="22"/>
        </w:rPr>
      </w:pPr>
      <w:r>
        <w:rPr>
          <w:rFonts w:asciiTheme="minorHAnsi" w:hAnsiTheme="minorHAnsi"/>
          <w:sz w:val="22"/>
          <w:szCs w:val="22"/>
        </w:rPr>
        <w:t xml:space="preserve">« La </w:t>
      </w:r>
      <w:r w:rsidRPr="003929CE">
        <w:rPr>
          <w:rFonts w:asciiTheme="minorHAnsi" w:hAnsiTheme="minorHAnsi"/>
          <w:b/>
          <w:sz w:val="22"/>
          <w:szCs w:val="22"/>
          <w:u w:val="single"/>
        </w:rPr>
        <w:t>dénaturation</w:t>
      </w:r>
      <w:r>
        <w:rPr>
          <w:rFonts w:asciiTheme="minorHAnsi" w:hAnsiTheme="minorHAnsi"/>
          <w:sz w:val="22"/>
          <w:szCs w:val="22"/>
        </w:rPr>
        <w:t xml:space="preserve"> des stupéfiants consiste à rendre les stupéfiants concernés définitivement inutilisables à quelques fins que ce soit du fait de la modification physique opérée. A savoir :</w:t>
      </w:r>
    </w:p>
    <w:p w:rsidR="00490119" w:rsidRPr="00490119" w:rsidRDefault="00490119" w:rsidP="002A62DE">
      <w:pPr>
        <w:pStyle w:val="Textebrut"/>
        <w:numPr>
          <w:ilvl w:val="1"/>
          <w:numId w:val="2"/>
        </w:numPr>
        <w:autoSpaceDE w:val="0"/>
        <w:autoSpaceDN w:val="0"/>
        <w:adjustRightInd w:val="0"/>
        <w:jc w:val="both"/>
        <w:rPr>
          <w:rFonts w:asciiTheme="minorHAnsi" w:hAnsiTheme="minorHAnsi" w:cs="Arial"/>
          <w:bCs/>
          <w:color w:val="003365"/>
          <w:sz w:val="22"/>
          <w:szCs w:val="22"/>
        </w:rPr>
      </w:pPr>
      <w:r>
        <w:rPr>
          <w:rFonts w:asciiTheme="minorHAnsi" w:hAnsiTheme="minorHAnsi"/>
          <w:sz w:val="22"/>
          <w:szCs w:val="22"/>
        </w:rPr>
        <w:lastRenderedPageBreak/>
        <w:t>Piler** les spécialités à détruire dans le mortier, tout en se protégeant des projections de produit et de morceaux de verre,</w:t>
      </w:r>
    </w:p>
    <w:p w:rsidR="00490119" w:rsidRPr="00490119" w:rsidRDefault="00490119" w:rsidP="002A62DE">
      <w:pPr>
        <w:pStyle w:val="Textebrut"/>
        <w:numPr>
          <w:ilvl w:val="1"/>
          <w:numId w:val="2"/>
        </w:numPr>
        <w:autoSpaceDE w:val="0"/>
        <w:autoSpaceDN w:val="0"/>
        <w:adjustRightInd w:val="0"/>
        <w:jc w:val="both"/>
        <w:rPr>
          <w:rFonts w:asciiTheme="minorHAnsi" w:hAnsiTheme="minorHAnsi" w:cs="Arial"/>
          <w:bCs/>
          <w:color w:val="003365"/>
          <w:sz w:val="22"/>
          <w:szCs w:val="22"/>
        </w:rPr>
      </w:pPr>
      <w:r>
        <w:rPr>
          <w:rFonts w:asciiTheme="minorHAnsi" w:hAnsiTheme="minorHAnsi"/>
          <w:sz w:val="22"/>
          <w:szCs w:val="22"/>
        </w:rPr>
        <w:t>Transvaser le magma obtenu dans le récipient en plastique</w:t>
      </w:r>
    </w:p>
    <w:p w:rsidR="00490119" w:rsidRPr="00490119" w:rsidRDefault="00490119" w:rsidP="002A62DE">
      <w:pPr>
        <w:pStyle w:val="Textebrut"/>
        <w:numPr>
          <w:ilvl w:val="1"/>
          <w:numId w:val="2"/>
        </w:numPr>
        <w:autoSpaceDE w:val="0"/>
        <w:autoSpaceDN w:val="0"/>
        <w:adjustRightInd w:val="0"/>
        <w:jc w:val="both"/>
        <w:rPr>
          <w:rFonts w:asciiTheme="minorHAnsi" w:hAnsiTheme="minorHAnsi" w:cs="Arial"/>
          <w:bCs/>
          <w:color w:val="003365"/>
          <w:sz w:val="22"/>
          <w:szCs w:val="22"/>
        </w:rPr>
      </w:pPr>
      <w:r>
        <w:rPr>
          <w:rFonts w:asciiTheme="minorHAnsi" w:hAnsiTheme="minorHAnsi"/>
          <w:sz w:val="22"/>
          <w:szCs w:val="22"/>
        </w:rPr>
        <w:t>Ajouter la quantité de plâtre et d’eau (ou de pâte) nécessaires et mélanger</w:t>
      </w:r>
    </w:p>
    <w:p w:rsidR="00490119" w:rsidRPr="00490119" w:rsidRDefault="00490119" w:rsidP="002A62DE">
      <w:pPr>
        <w:pStyle w:val="Textebrut"/>
        <w:numPr>
          <w:ilvl w:val="1"/>
          <w:numId w:val="2"/>
        </w:numPr>
        <w:autoSpaceDE w:val="0"/>
        <w:autoSpaceDN w:val="0"/>
        <w:adjustRightInd w:val="0"/>
        <w:jc w:val="both"/>
        <w:rPr>
          <w:rFonts w:asciiTheme="minorHAnsi" w:hAnsiTheme="minorHAnsi" w:cs="Arial"/>
          <w:bCs/>
          <w:color w:val="003365"/>
          <w:sz w:val="22"/>
          <w:szCs w:val="22"/>
        </w:rPr>
      </w:pPr>
      <w:r>
        <w:rPr>
          <w:rFonts w:asciiTheme="minorHAnsi" w:hAnsiTheme="minorHAnsi"/>
          <w:sz w:val="22"/>
          <w:szCs w:val="22"/>
        </w:rPr>
        <w:t>Attendre dix à quinze minutes de manière à obtenir un durcissement optimal (rajouter plâtre ou eau si nécessaire)</w:t>
      </w:r>
    </w:p>
    <w:p w:rsidR="00490119" w:rsidRPr="00490119" w:rsidRDefault="00490119" w:rsidP="002A62DE">
      <w:pPr>
        <w:pStyle w:val="Textebrut"/>
        <w:numPr>
          <w:ilvl w:val="1"/>
          <w:numId w:val="2"/>
        </w:numPr>
        <w:autoSpaceDE w:val="0"/>
        <w:autoSpaceDN w:val="0"/>
        <w:adjustRightInd w:val="0"/>
        <w:jc w:val="both"/>
        <w:rPr>
          <w:rFonts w:asciiTheme="minorHAnsi" w:hAnsiTheme="minorHAnsi" w:cs="Arial"/>
          <w:bCs/>
          <w:color w:val="003365"/>
          <w:sz w:val="22"/>
          <w:szCs w:val="22"/>
        </w:rPr>
      </w:pPr>
      <w:r>
        <w:rPr>
          <w:rFonts w:asciiTheme="minorHAnsi" w:hAnsiTheme="minorHAnsi"/>
          <w:sz w:val="22"/>
          <w:szCs w:val="22"/>
        </w:rPr>
        <w:t>Après durcissement refermer le récipient</w:t>
      </w:r>
      <w:r w:rsidR="0020209C">
        <w:rPr>
          <w:rFonts w:asciiTheme="minorHAnsi" w:hAnsiTheme="minorHAnsi"/>
          <w:sz w:val="22"/>
          <w:szCs w:val="22"/>
        </w:rPr>
        <w:t> »</w:t>
      </w:r>
    </w:p>
    <w:p w:rsidR="00490119" w:rsidRDefault="00490119" w:rsidP="002A62DE">
      <w:pPr>
        <w:pStyle w:val="Textebrut"/>
        <w:numPr>
          <w:ilvl w:val="0"/>
          <w:numId w:val="2"/>
        </w:numPr>
        <w:autoSpaceDE w:val="0"/>
        <w:autoSpaceDN w:val="0"/>
        <w:adjustRightInd w:val="0"/>
        <w:jc w:val="both"/>
        <w:rPr>
          <w:rFonts w:asciiTheme="minorHAnsi" w:hAnsiTheme="minorHAnsi" w:cs="Arial"/>
          <w:bCs/>
          <w:sz w:val="22"/>
          <w:szCs w:val="22"/>
        </w:rPr>
      </w:pPr>
      <w:r w:rsidRPr="000A2B9F">
        <w:rPr>
          <w:rFonts w:asciiTheme="minorHAnsi" w:hAnsiTheme="minorHAnsi" w:cs="Arial"/>
          <w:bCs/>
          <w:sz w:val="22"/>
          <w:szCs w:val="22"/>
        </w:rPr>
        <w:t xml:space="preserve">Remarque : </w:t>
      </w:r>
      <w:r>
        <w:rPr>
          <w:rFonts w:asciiTheme="minorHAnsi" w:hAnsiTheme="minorHAnsi" w:cs="Arial"/>
          <w:bCs/>
          <w:sz w:val="22"/>
          <w:szCs w:val="22"/>
        </w:rPr>
        <w:t xml:space="preserve">les formes galéniques ne sont pas explicitées mais sont concernés « tous médicaments et substances classés comme stupéfiants sous toute forme galénique que ce soit ». C'est-à-dire </w:t>
      </w:r>
      <w:r w:rsidR="0020209C">
        <w:rPr>
          <w:rFonts w:asciiTheme="minorHAnsi" w:hAnsiTheme="minorHAnsi" w:cs="Arial"/>
          <w:bCs/>
          <w:sz w:val="22"/>
          <w:szCs w:val="22"/>
        </w:rPr>
        <w:t xml:space="preserve">notamment </w:t>
      </w:r>
      <w:r>
        <w:rPr>
          <w:rFonts w:asciiTheme="minorHAnsi" w:hAnsiTheme="minorHAnsi" w:cs="Arial"/>
          <w:bCs/>
          <w:sz w:val="22"/>
          <w:szCs w:val="22"/>
        </w:rPr>
        <w:t xml:space="preserve">comprimés, </w:t>
      </w:r>
      <w:r w:rsidR="0020209C">
        <w:rPr>
          <w:rFonts w:asciiTheme="minorHAnsi" w:hAnsiTheme="minorHAnsi" w:cs="Arial"/>
          <w:bCs/>
          <w:sz w:val="22"/>
          <w:szCs w:val="22"/>
        </w:rPr>
        <w:t xml:space="preserve">comprimés à sucer, </w:t>
      </w:r>
      <w:r>
        <w:rPr>
          <w:rFonts w:asciiTheme="minorHAnsi" w:hAnsiTheme="minorHAnsi" w:cs="Arial"/>
          <w:bCs/>
          <w:sz w:val="22"/>
          <w:szCs w:val="22"/>
        </w:rPr>
        <w:t xml:space="preserve">gélules, ampoules, flacons, patchs </w:t>
      </w:r>
      <w:r w:rsidR="0020209C">
        <w:rPr>
          <w:rFonts w:asciiTheme="minorHAnsi" w:hAnsiTheme="minorHAnsi" w:cs="Arial"/>
          <w:bCs/>
          <w:sz w:val="22"/>
          <w:szCs w:val="22"/>
        </w:rPr>
        <w:t>….</w:t>
      </w:r>
      <w:r>
        <w:rPr>
          <w:rFonts w:asciiTheme="minorHAnsi" w:hAnsiTheme="minorHAnsi" w:cs="Arial"/>
          <w:bCs/>
          <w:sz w:val="22"/>
          <w:szCs w:val="22"/>
        </w:rPr>
        <w:t xml:space="preserve">. </w:t>
      </w:r>
    </w:p>
    <w:p w:rsidR="00490119" w:rsidRDefault="00490119" w:rsidP="002A62DE">
      <w:pPr>
        <w:pStyle w:val="Textebrut"/>
        <w:numPr>
          <w:ilvl w:val="0"/>
          <w:numId w:val="2"/>
        </w:numPr>
        <w:autoSpaceDE w:val="0"/>
        <w:autoSpaceDN w:val="0"/>
        <w:adjustRightInd w:val="0"/>
        <w:jc w:val="both"/>
        <w:rPr>
          <w:rFonts w:asciiTheme="minorHAnsi" w:hAnsiTheme="minorHAnsi" w:cs="Arial"/>
          <w:bCs/>
          <w:sz w:val="22"/>
          <w:szCs w:val="22"/>
        </w:rPr>
      </w:pPr>
      <w:r>
        <w:rPr>
          <w:rFonts w:asciiTheme="minorHAnsi" w:hAnsiTheme="minorHAnsi" w:cs="Arial"/>
          <w:bCs/>
          <w:sz w:val="22"/>
          <w:szCs w:val="22"/>
        </w:rPr>
        <w:t xml:space="preserve">** </w:t>
      </w:r>
    </w:p>
    <w:p w:rsidR="00490119" w:rsidRDefault="00490119" w:rsidP="002A62DE">
      <w:pPr>
        <w:pStyle w:val="Textebrut"/>
        <w:numPr>
          <w:ilvl w:val="1"/>
          <w:numId w:val="2"/>
        </w:numPr>
        <w:autoSpaceDE w:val="0"/>
        <w:autoSpaceDN w:val="0"/>
        <w:adjustRightInd w:val="0"/>
        <w:jc w:val="both"/>
        <w:rPr>
          <w:rFonts w:asciiTheme="minorHAnsi" w:hAnsiTheme="minorHAnsi" w:cs="Arial"/>
          <w:bCs/>
          <w:sz w:val="22"/>
          <w:szCs w:val="22"/>
        </w:rPr>
      </w:pPr>
      <w:r>
        <w:rPr>
          <w:rFonts w:asciiTheme="minorHAnsi" w:hAnsiTheme="minorHAnsi" w:cs="Arial"/>
          <w:bCs/>
          <w:sz w:val="22"/>
          <w:szCs w:val="22"/>
        </w:rPr>
        <w:t>Piler les comprimés</w:t>
      </w:r>
      <w:r w:rsidR="0020209C">
        <w:rPr>
          <w:rFonts w:asciiTheme="minorHAnsi" w:hAnsiTheme="minorHAnsi" w:cs="Arial"/>
          <w:bCs/>
          <w:sz w:val="22"/>
          <w:szCs w:val="22"/>
        </w:rPr>
        <w:t xml:space="preserve"> : « le matériel nécessaire sera constitué d’un récipient robuste de type mortier et d’un objet contondant du type pilon, d’un récipient en plastique de type bac alimentaire de dimension moyenne (0,75/1L) avec couvercle, d’un </w:t>
      </w:r>
      <w:r w:rsidR="00027D9F">
        <w:rPr>
          <w:rFonts w:asciiTheme="minorHAnsi" w:hAnsiTheme="minorHAnsi" w:cs="Arial"/>
          <w:bCs/>
          <w:sz w:val="22"/>
          <w:szCs w:val="22"/>
        </w:rPr>
        <w:t>p</w:t>
      </w:r>
      <w:r w:rsidR="0020209C">
        <w:rPr>
          <w:rFonts w:asciiTheme="minorHAnsi" w:hAnsiTheme="minorHAnsi" w:cs="Arial"/>
          <w:bCs/>
          <w:sz w:val="22"/>
          <w:szCs w:val="22"/>
        </w:rPr>
        <w:t>aquet de plâtre à prise rapide et d’eau, ou le cas échéant de pâte à durcissement rapide »</w:t>
      </w:r>
      <w:r>
        <w:rPr>
          <w:rFonts w:asciiTheme="minorHAnsi" w:hAnsiTheme="minorHAnsi" w:cs="Arial"/>
          <w:bCs/>
          <w:sz w:val="22"/>
          <w:szCs w:val="22"/>
        </w:rPr>
        <w:t xml:space="preserve"> </w:t>
      </w:r>
      <w:r w:rsidR="0020209C">
        <w:rPr>
          <w:rFonts w:asciiTheme="minorHAnsi" w:hAnsiTheme="minorHAnsi" w:cs="Arial"/>
          <w:bCs/>
          <w:sz w:val="22"/>
          <w:szCs w:val="22"/>
        </w:rPr>
        <w:t>(</w:t>
      </w:r>
      <w:r w:rsidR="0020209C" w:rsidRPr="0020209C">
        <w:rPr>
          <w:rFonts w:asciiTheme="minorHAnsi" w:hAnsiTheme="minorHAnsi" w:cs="Arial"/>
          <w:bCs/>
          <w:i/>
          <w:sz w:val="22"/>
          <w:szCs w:val="22"/>
        </w:rPr>
        <w:t>cf</w:t>
      </w:r>
      <w:r w:rsidR="0020209C">
        <w:rPr>
          <w:rFonts w:asciiTheme="minorHAnsi" w:hAnsiTheme="minorHAnsi" w:cs="Arial"/>
          <w:bCs/>
          <w:sz w:val="22"/>
          <w:szCs w:val="22"/>
        </w:rPr>
        <w:t xml:space="preserve"> Conseil de l’Ordre)</w:t>
      </w:r>
    </w:p>
    <w:p w:rsidR="00490119" w:rsidRDefault="00490119" w:rsidP="002A62DE">
      <w:pPr>
        <w:pStyle w:val="Textebrut"/>
        <w:numPr>
          <w:ilvl w:val="1"/>
          <w:numId w:val="2"/>
        </w:numPr>
        <w:autoSpaceDE w:val="0"/>
        <w:autoSpaceDN w:val="0"/>
        <w:adjustRightInd w:val="0"/>
        <w:jc w:val="both"/>
        <w:rPr>
          <w:rFonts w:asciiTheme="minorHAnsi" w:hAnsiTheme="minorHAnsi" w:cs="Arial"/>
          <w:bCs/>
          <w:sz w:val="22"/>
          <w:szCs w:val="22"/>
        </w:rPr>
      </w:pPr>
      <w:r>
        <w:rPr>
          <w:rFonts w:asciiTheme="minorHAnsi" w:hAnsiTheme="minorHAnsi" w:cs="Arial"/>
          <w:bCs/>
          <w:sz w:val="22"/>
          <w:szCs w:val="22"/>
        </w:rPr>
        <w:t>Ouvrir et verser les gélules, les mélanger aux comprimés pilés</w:t>
      </w:r>
    </w:p>
    <w:p w:rsidR="00490119" w:rsidRDefault="00490119" w:rsidP="002A62DE">
      <w:pPr>
        <w:pStyle w:val="Textebrut"/>
        <w:numPr>
          <w:ilvl w:val="1"/>
          <w:numId w:val="2"/>
        </w:numPr>
        <w:autoSpaceDE w:val="0"/>
        <w:autoSpaceDN w:val="0"/>
        <w:adjustRightInd w:val="0"/>
        <w:jc w:val="both"/>
        <w:rPr>
          <w:rFonts w:asciiTheme="minorHAnsi" w:hAnsiTheme="minorHAnsi" w:cs="Arial"/>
          <w:bCs/>
          <w:sz w:val="22"/>
          <w:szCs w:val="22"/>
        </w:rPr>
      </w:pPr>
      <w:r>
        <w:rPr>
          <w:rFonts w:asciiTheme="minorHAnsi" w:hAnsiTheme="minorHAnsi" w:cs="Arial"/>
          <w:bCs/>
          <w:sz w:val="22"/>
          <w:szCs w:val="22"/>
        </w:rPr>
        <w:t>Piler les ampoules, idem</w:t>
      </w:r>
    </w:p>
    <w:p w:rsidR="00490119" w:rsidRDefault="00490119" w:rsidP="002A62DE">
      <w:pPr>
        <w:pStyle w:val="Textebrut"/>
        <w:numPr>
          <w:ilvl w:val="1"/>
          <w:numId w:val="2"/>
        </w:numPr>
        <w:autoSpaceDE w:val="0"/>
        <w:autoSpaceDN w:val="0"/>
        <w:adjustRightInd w:val="0"/>
        <w:jc w:val="both"/>
        <w:rPr>
          <w:rFonts w:asciiTheme="minorHAnsi" w:hAnsiTheme="minorHAnsi" w:cs="Arial"/>
          <w:bCs/>
          <w:sz w:val="22"/>
          <w:szCs w:val="22"/>
        </w:rPr>
      </w:pPr>
      <w:r>
        <w:rPr>
          <w:rFonts w:asciiTheme="minorHAnsi" w:hAnsiTheme="minorHAnsi" w:cs="Arial"/>
          <w:bCs/>
          <w:sz w:val="22"/>
          <w:szCs w:val="22"/>
        </w:rPr>
        <w:t>Découper les patchs, idem</w:t>
      </w:r>
    </w:p>
    <w:p w:rsidR="00490119" w:rsidRDefault="00490119" w:rsidP="002A62DE">
      <w:pPr>
        <w:pStyle w:val="Textebrut"/>
        <w:numPr>
          <w:ilvl w:val="1"/>
          <w:numId w:val="2"/>
        </w:numPr>
        <w:autoSpaceDE w:val="0"/>
        <w:autoSpaceDN w:val="0"/>
        <w:adjustRightInd w:val="0"/>
        <w:jc w:val="both"/>
        <w:rPr>
          <w:rFonts w:asciiTheme="minorHAnsi" w:hAnsiTheme="minorHAnsi" w:cs="Arial"/>
          <w:bCs/>
          <w:sz w:val="22"/>
          <w:szCs w:val="22"/>
        </w:rPr>
      </w:pPr>
      <w:r>
        <w:rPr>
          <w:rFonts w:asciiTheme="minorHAnsi" w:hAnsiTheme="minorHAnsi" w:cs="Arial"/>
          <w:bCs/>
          <w:sz w:val="22"/>
          <w:szCs w:val="22"/>
        </w:rPr>
        <w:t>Vider les flacons, idem</w:t>
      </w:r>
    </w:p>
    <w:p w:rsidR="00490119" w:rsidRDefault="00490119" w:rsidP="00B5460E">
      <w:pPr>
        <w:rPr>
          <w:rFonts w:asciiTheme="minorHAnsi" w:hAnsiTheme="minorHAnsi"/>
          <w:sz w:val="22"/>
          <w:szCs w:val="22"/>
        </w:rPr>
      </w:pPr>
    </w:p>
    <w:p w:rsidR="00490119" w:rsidRDefault="008406B2" w:rsidP="002A62DE">
      <w:pPr>
        <w:pStyle w:val="Paragraphedeliste"/>
        <w:numPr>
          <w:ilvl w:val="0"/>
          <w:numId w:val="11"/>
        </w:numPr>
        <w:jc w:val="both"/>
      </w:pPr>
      <w:r w:rsidRPr="004640FF">
        <w:t>La masse ainsi obtenue est mise en carton à détruire</w:t>
      </w:r>
    </w:p>
    <w:p w:rsidR="00490119" w:rsidRDefault="00490119" w:rsidP="00490119">
      <w:pPr>
        <w:rPr>
          <w:rFonts w:asciiTheme="minorHAnsi" w:hAnsiTheme="minorHAnsi"/>
          <w:b/>
          <w:sz w:val="22"/>
          <w:szCs w:val="22"/>
        </w:rPr>
      </w:pPr>
      <w:r>
        <w:rPr>
          <w:rFonts w:asciiTheme="minorHAnsi" w:hAnsiTheme="minorHAnsi"/>
          <w:b/>
          <w:sz w:val="22"/>
          <w:szCs w:val="22"/>
        </w:rPr>
        <w:t>Modalités de destruction des produits</w:t>
      </w:r>
    </w:p>
    <w:p w:rsidR="00490119" w:rsidRDefault="00490119" w:rsidP="00490119">
      <w:pPr>
        <w:rPr>
          <w:rFonts w:asciiTheme="minorHAnsi" w:hAnsiTheme="minorHAnsi"/>
          <w:sz w:val="22"/>
          <w:szCs w:val="22"/>
        </w:rPr>
      </w:pPr>
    </w:p>
    <w:p w:rsidR="00490119" w:rsidRDefault="00490119" w:rsidP="002A62DE">
      <w:pPr>
        <w:pStyle w:val="Paragraphedeliste"/>
        <w:numPr>
          <w:ilvl w:val="0"/>
          <w:numId w:val="12"/>
        </w:numPr>
        <w:jc w:val="both"/>
      </w:pPr>
      <w:r>
        <w:t xml:space="preserve">Jusqu’à 5kg par opération : mettre le récipient et son contenu dans le carton </w:t>
      </w:r>
      <w:r w:rsidR="00D40941">
        <w:t xml:space="preserve">destiné </w:t>
      </w:r>
      <w:r>
        <w:t>aux médicaments à détruire</w:t>
      </w:r>
    </w:p>
    <w:p w:rsidR="00D40941" w:rsidRPr="004640FF" w:rsidRDefault="00D40941" w:rsidP="002A62DE">
      <w:pPr>
        <w:pStyle w:val="Paragraphedeliste"/>
        <w:numPr>
          <w:ilvl w:val="0"/>
          <w:numId w:val="12"/>
        </w:numPr>
        <w:jc w:val="both"/>
      </w:pPr>
      <w:r>
        <w:t>Au-delà de 5kg par opération : le porter dans un centre d’incinération pour ordures ménagères</w:t>
      </w:r>
    </w:p>
    <w:p w:rsidR="008406B2" w:rsidRDefault="008406B2" w:rsidP="00B5460E">
      <w:pPr>
        <w:rPr>
          <w:rFonts w:asciiTheme="minorHAnsi" w:hAnsiTheme="minorHAnsi"/>
          <w:sz w:val="22"/>
          <w:szCs w:val="22"/>
        </w:rPr>
      </w:pPr>
    </w:p>
    <w:p w:rsidR="000A2B9F" w:rsidRPr="00DB39F1" w:rsidRDefault="000A2B9F" w:rsidP="00B5460E">
      <w:pPr>
        <w:rPr>
          <w:rFonts w:asciiTheme="minorHAnsi" w:hAnsiTheme="minorHAnsi"/>
          <w:b/>
          <w:sz w:val="22"/>
          <w:szCs w:val="22"/>
        </w:rPr>
      </w:pPr>
      <w:r w:rsidRPr="00DB39F1">
        <w:rPr>
          <w:rFonts w:asciiTheme="minorHAnsi" w:hAnsiTheme="minorHAnsi"/>
          <w:b/>
          <w:sz w:val="22"/>
          <w:szCs w:val="22"/>
        </w:rPr>
        <w:t>PV de destruction</w:t>
      </w:r>
    </w:p>
    <w:p w:rsidR="000A2B9F" w:rsidRDefault="000A2B9F" w:rsidP="00B5460E">
      <w:pPr>
        <w:rPr>
          <w:rFonts w:asciiTheme="minorHAnsi" w:hAnsiTheme="minorHAnsi"/>
          <w:sz w:val="22"/>
          <w:szCs w:val="22"/>
        </w:rPr>
      </w:pPr>
    </w:p>
    <w:p w:rsidR="008406B2" w:rsidRPr="004640FF" w:rsidRDefault="008406B2" w:rsidP="002A62DE">
      <w:pPr>
        <w:pStyle w:val="Paragraphedeliste"/>
        <w:numPr>
          <w:ilvl w:val="0"/>
          <w:numId w:val="12"/>
        </w:numPr>
      </w:pPr>
      <w:r w:rsidRPr="004640FF">
        <w:t xml:space="preserve">Il faut faire </w:t>
      </w:r>
    </w:p>
    <w:p w:rsidR="000A2B9F" w:rsidRPr="00E74602" w:rsidRDefault="008406B2" w:rsidP="002A62DE">
      <w:pPr>
        <w:pStyle w:val="Paragraphedeliste"/>
        <w:numPr>
          <w:ilvl w:val="0"/>
          <w:numId w:val="7"/>
        </w:numPr>
      </w:pPr>
      <w:r w:rsidRPr="00E74602">
        <w:t xml:space="preserve">Co-signer le PV de destruction </w:t>
      </w:r>
      <w:r w:rsidR="0060341D">
        <w:t xml:space="preserve">conjointement </w:t>
      </w:r>
      <w:r w:rsidRPr="00E74602">
        <w:t>par le pharmacien commanditaire et le témoin</w:t>
      </w:r>
    </w:p>
    <w:p w:rsidR="008406B2" w:rsidRPr="00E74602" w:rsidRDefault="008406B2" w:rsidP="002A62DE">
      <w:pPr>
        <w:pStyle w:val="Paragraphedeliste"/>
        <w:numPr>
          <w:ilvl w:val="0"/>
          <w:numId w:val="7"/>
        </w:numPr>
      </w:pPr>
      <w:r w:rsidRPr="00E74602">
        <w:t>Joindre le PV au registre comptable des stupéfiants</w:t>
      </w:r>
    </w:p>
    <w:p w:rsidR="00E74602" w:rsidRDefault="008406B2" w:rsidP="002A62DE">
      <w:pPr>
        <w:pStyle w:val="Paragraphedeliste"/>
        <w:numPr>
          <w:ilvl w:val="0"/>
          <w:numId w:val="7"/>
        </w:numPr>
      </w:pPr>
      <w:r w:rsidRPr="00E74602">
        <w:t>Envoyer une copie au Pharmacien-Inspecteur par mail</w:t>
      </w:r>
      <w:r w:rsidR="00E74602">
        <w:t> </w:t>
      </w:r>
    </w:p>
    <w:p w:rsidR="0087178F" w:rsidRDefault="0087178F" w:rsidP="00B5460E">
      <w:pPr>
        <w:rPr>
          <w:rFonts w:asciiTheme="minorHAnsi" w:hAnsiTheme="minorHAnsi"/>
          <w:sz w:val="22"/>
          <w:szCs w:val="22"/>
        </w:rPr>
      </w:pPr>
    </w:p>
    <w:p w:rsidR="008406B2" w:rsidRPr="00DB39F1" w:rsidRDefault="008406B2" w:rsidP="00B5460E">
      <w:pPr>
        <w:rPr>
          <w:rFonts w:asciiTheme="minorHAnsi" w:hAnsiTheme="minorHAnsi"/>
          <w:b/>
          <w:sz w:val="22"/>
          <w:szCs w:val="22"/>
        </w:rPr>
      </w:pPr>
      <w:r w:rsidRPr="00DB39F1">
        <w:rPr>
          <w:rFonts w:asciiTheme="minorHAnsi" w:hAnsiTheme="minorHAnsi"/>
          <w:b/>
          <w:sz w:val="22"/>
          <w:szCs w:val="22"/>
        </w:rPr>
        <w:t>Comptabilité</w:t>
      </w:r>
    </w:p>
    <w:p w:rsidR="008406B2" w:rsidRDefault="008406B2" w:rsidP="00B5460E">
      <w:pPr>
        <w:rPr>
          <w:rFonts w:asciiTheme="minorHAnsi" w:hAnsiTheme="minorHAnsi"/>
          <w:sz w:val="22"/>
          <w:szCs w:val="22"/>
        </w:rPr>
      </w:pPr>
    </w:p>
    <w:p w:rsidR="008406B2" w:rsidRPr="004640FF" w:rsidRDefault="008406B2" w:rsidP="002A62DE">
      <w:pPr>
        <w:pStyle w:val="Paragraphedeliste"/>
        <w:numPr>
          <w:ilvl w:val="0"/>
          <w:numId w:val="12"/>
        </w:numPr>
      </w:pPr>
      <w:r w:rsidRPr="004640FF">
        <w:t>Une comptabilité des produits à détruire, distincte de celle des entrées, est faite selon des modalités assurant les mêmes conditions de sécurité que l’enregistrement des données (art.7)</w:t>
      </w:r>
    </w:p>
    <w:p w:rsidR="008406B2" w:rsidRDefault="008406B2" w:rsidP="00B5460E">
      <w:pPr>
        <w:rPr>
          <w:rFonts w:asciiTheme="minorHAnsi" w:hAnsiTheme="minorHAnsi"/>
          <w:sz w:val="22"/>
          <w:szCs w:val="22"/>
        </w:rPr>
      </w:pPr>
    </w:p>
    <w:p w:rsidR="000A2DD8" w:rsidRDefault="0087669E" w:rsidP="00B5460E">
      <w:pPr>
        <w:rPr>
          <w:rFonts w:asciiTheme="minorHAnsi" w:hAnsiTheme="minorHAnsi"/>
          <w:b/>
          <w:sz w:val="22"/>
          <w:szCs w:val="22"/>
        </w:rPr>
      </w:pPr>
      <w:r w:rsidRPr="00DB39F1">
        <w:rPr>
          <w:rFonts w:asciiTheme="minorHAnsi" w:hAnsiTheme="minorHAnsi"/>
          <w:b/>
          <w:sz w:val="22"/>
          <w:szCs w:val="22"/>
        </w:rPr>
        <w:t xml:space="preserve">Archivage </w:t>
      </w:r>
    </w:p>
    <w:p w:rsidR="00E74602" w:rsidRDefault="00E74602" w:rsidP="002A62DE">
      <w:pPr>
        <w:pStyle w:val="Paragraphedeliste"/>
        <w:numPr>
          <w:ilvl w:val="0"/>
          <w:numId w:val="12"/>
        </w:numPr>
        <w:shd w:val="clear" w:color="auto" w:fill="FFFFFF"/>
        <w:spacing w:before="100" w:beforeAutospacing="1" w:after="100" w:afterAutospacing="1"/>
        <w:jc w:val="both"/>
        <w:rPr>
          <w:rFonts w:cs="Arial"/>
          <w:bCs/>
          <w:color w:val="333333"/>
        </w:rPr>
      </w:pPr>
      <w:r w:rsidRPr="004640FF">
        <w:rPr>
          <w:rFonts w:cs="Arial"/>
          <w:bCs/>
          <w:color w:val="333333"/>
        </w:rPr>
        <w:t xml:space="preserve">Le registre tel que prévu à l’article R. 5132-36 du code de la santé publique, les enregistrements informatiques et les éditions </w:t>
      </w:r>
      <w:r w:rsidR="00DB39F1">
        <w:rPr>
          <w:rFonts w:cs="Arial"/>
          <w:bCs/>
          <w:color w:val="333333"/>
        </w:rPr>
        <w:t>d</w:t>
      </w:r>
      <w:r w:rsidRPr="004640FF">
        <w:rPr>
          <w:rFonts w:cs="Arial"/>
          <w:bCs/>
          <w:color w:val="333333"/>
        </w:rPr>
        <w:t xml:space="preserve">e ces enregistrements par période maximale d’un mois ainsi que les documents attestant la destruction sont conservés </w:t>
      </w:r>
      <w:r w:rsidRPr="00DB39F1">
        <w:rPr>
          <w:rFonts w:cs="Arial"/>
          <w:b/>
          <w:bCs/>
          <w:color w:val="FF0000"/>
          <w:u w:val="single"/>
        </w:rPr>
        <w:t>dix ans</w:t>
      </w:r>
      <w:r w:rsidRPr="004640FF">
        <w:rPr>
          <w:rFonts w:cs="Arial"/>
          <w:bCs/>
          <w:color w:val="333333"/>
        </w:rPr>
        <w:t xml:space="preserve"> à compter de leur dernière mention, pour être présentés à toute réquisition des autorités de contrôle.</w:t>
      </w:r>
    </w:p>
    <w:p w:rsidR="00941EEB" w:rsidRDefault="00941EEB">
      <w:pPr>
        <w:spacing w:after="200" w:line="276" w:lineRule="auto"/>
        <w:rPr>
          <w:rFonts w:cs="Arial"/>
          <w:bCs/>
          <w:color w:val="333333"/>
        </w:rPr>
      </w:pPr>
      <w:r>
        <w:rPr>
          <w:rFonts w:cs="Arial"/>
          <w:bCs/>
          <w:color w:val="333333"/>
        </w:rPr>
        <w:br w:type="page"/>
      </w:r>
    </w:p>
    <w:p w:rsidR="00941EEB" w:rsidRPr="00941EEB" w:rsidRDefault="00941EEB" w:rsidP="00941EEB">
      <w:pPr>
        <w:shd w:val="clear" w:color="auto" w:fill="FFFFFF"/>
        <w:spacing w:before="100" w:beforeAutospacing="1" w:after="100" w:afterAutospacing="1"/>
        <w:jc w:val="both"/>
        <w:rPr>
          <w:rFonts w:asciiTheme="minorHAnsi" w:hAnsiTheme="minorHAnsi" w:cs="Arial"/>
          <w:b/>
          <w:bCs/>
          <w:color w:val="333333"/>
          <w:sz w:val="28"/>
          <w:szCs w:val="28"/>
        </w:rPr>
      </w:pPr>
      <w:r w:rsidRPr="00941EEB">
        <w:rPr>
          <w:rFonts w:asciiTheme="minorHAnsi" w:hAnsiTheme="minorHAnsi" w:cs="Arial"/>
          <w:b/>
          <w:bCs/>
          <w:color w:val="333333"/>
          <w:sz w:val="28"/>
          <w:szCs w:val="28"/>
        </w:rPr>
        <w:t>Annexe 1 – Modèle de courrier (ordre national des pharmaciens)</w:t>
      </w:r>
    </w:p>
    <w:p w:rsidR="00941EEB" w:rsidRPr="00941EEB" w:rsidRDefault="00941EEB" w:rsidP="00941EEB">
      <w:pPr>
        <w:shd w:val="clear" w:color="auto" w:fill="FFFFFF"/>
        <w:spacing w:before="100" w:beforeAutospacing="1" w:after="100" w:afterAutospacing="1"/>
        <w:jc w:val="both"/>
        <w:rPr>
          <w:rFonts w:asciiTheme="minorHAnsi" w:hAnsiTheme="minorHAnsi" w:cs="Arial"/>
          <w:bCs/>
          <w:color w:val="333333"/>
        </w:rPr>
      </w:pPr>
    </w:p>
    <w:p w:rsidR="00941EEB" w:rsidRPr="00941EEB" w:rsidRDefault="00941EEB" w:rsidP="00941EEB">
      <w:pPr>
        <w:ind w:left="5670"/>
        <w:contextualSpacing/>
        <w:rPr>
          <w:rFonts w:asciiTheme="minorHAnsi" w:hAnsiTheme="minorHAnsi"/>
        </w:rPr>
      </w:pPr>
    </w:p>
    <w:p w:rsidR="00941EEB" w:rsidRPr="00941EEB" w:rsidRDefault="00941EEB" w:rsidP="00941EEB">
      <w:pPr>
        <w:ind w:left="5670"/>
        <w:contextualSpacing/>
        <w:rPr>
          <w:rFonts w:asciiTheme="minorHAnsi" w:hAnsiTheme="minorHAnsi"/>
        </w:rPr>
      </w:pPr>
    </w:p>
    <w:p w:rsidR="00941EEB" w:rsidRPr="003755B7" w:rsidRDefault="00941EEB" w:rsidP="00941EEB">
      <w:pPr>
        <w:ind w:left="5670"/>
        <w:contextualSpacing/>
        <w:rPr>
          <w:rFonts w:asciiTheme="minorHAnsi" w:hAnsiTheme="minorHAnsi"/>
          <w:sz w:val="22"/>
          <w:szCs w:val="22"/>
        </w:rPr>
      </w:pPr>
      <w:r w:rsidRPr="003755B7">
        <w:rPr>
          <w:rFonts w:asciiTheme="minorHAnsi" w:hAnsiTheme="minorHAnsi"/>
          <w:sz w:val="22"/>
          <w:szCs w:val="22"/>
        </w:rPr>
        <w:t xml:space="preserve">Monsieur le Président </w:t>
      </w:r>
    </w:p>
    <w:p w:rsidR="00941EEB" w:rsidRPr="003755B7" w:rsidRDefault="00941EEB" w:rsidP="00941EEB">
      <w:pPr>
        <w:ind w:left="5670"/>
        <w:contextualSpacing/>
        <w:rPr>
          <w:rFonts w:asciiTheme="minorHAnsi" w:hAnsiTheme="minorHAnsi"/>
          <w:sz w:val="22"/>
          <w:szCs w:val="22"/>
        </w:rPr>
      </w:pPr>
      <w:r w:rsidRPr="003755B7">
        <w:rPr>
          <w:rFonts w:asciiTheme="minorHAnsi" w:hAnsiTheme="minorHAnsi"/>
          <w:sz w:val="22"/>
          <w:szCs w:val="22"/>
        </w:rPr>
        <w:t>Conseil Central de la Section H</w:t>
      </w:r>
    </w:p>
    <w:p w:rsidR="00941EEB" w:rsidRPr="003755B7" w:rsidRDefault="00941EEB" w:rsidP="00941EEB">
      <w:pPr>
        <w:ind w:left="5670"/>
        <w:contextualSpacing/>
        <w:rPr>
          <w:rFonts w:asciiTheme="minorHAnsi" w:hAnsiTheme="minorHAnsi"/>
          <w:sz w:val="22"/>
          <w:szCs w:val="22"/>
        </w:rPr>
      </w:pPr>
      <w:r w:rsidRPr="003755B7">
        <w:rPr>
          <w:rFonts w:asciiTheme="minorHAnsi" w:hAnsiTheme="minorHAnsi"/>
          <w:sz w:val="22"/>
          <w:szCs w:val="22"/>
        </w:rPr>
        <w:t>Ordre National des Pharmaciens</w:t>
      </w:r>
    </w:p>
    <w:p w:rsidR="00941EEB" w:rsidRPr="003755B7" w:rsidRDefault="00941EEB" w:rsidP="00941EEB">
      <w:pPr>
        <w:ind w:left="5670"/>
        <w:contextualSpacing/>
        <w:rPr>
          <w:rFonts w:asciiTheme="minorHAnsi" w:hAnsiTheme="minorHAnsi"/>
          <w:sz w:val="22"/>
          <w:szCs w:val="22"/>
        </w:rPr>
      </w:pPr>
      <w:r w:rsidRPr="003755B7">
        <w:rPr>
          <w:rFonts w:asciiTheme="minorHAnsi" w:hAnsiTheme="minorHAnsi"/>
          <w:sz w:val="22"/>
          <w:szCs w:val="22"/>
        </w:rPr>
        <w:t>4, avenue de Ruysdael</w:t>
      </w:r>
    </w:p>
    <w:p w:rsidR="00941EEB" w:rsidRPr="003755B7" w:rsidRDefault="00941EEB" w:rsidP="00941EEB">
      <w:pPr>
        <w:ind w:left="5670"/>
        <w:contextualSpacing/>
        <w:rPr>
          <w:rFonts w:asciiTheme="minorHAnsi" w:hAnsiTheme="minorHAnsi"/>
          <w:sz w:val="22"/>
          <w:szCs w:val="22"/>
        </w:rPr>
      </w:pPr>
      <w:r w:rsidRPr="003755B7">
        <w:rPr>
          <w:rFonts w:asciiTheme="minorHAnsi" w:hAnsiTheme="minorHAnsi"/>
          <w:sz w:val="22"/>
          <w:szCs w:val="22"/>
        </w:rPr>
        <w:t>75008 PARIS</w:t>
      </w:r>
    </w:p>
    <w:p w:rsidR="00941EEB" w:rsidRPr="003755B7" w:rsidRDefault="00941EEB" w:rsidP="00941EEB">
      <w:pPr>
        <w:contextualSpacing/>
        <w:rPr>
          <w:rFonts w:asciiTheme="minorHAnsi" w:hAnsiTheme="minorHAnsi"/>
          <w:sz w:val="22"/>
          <w:szCs w:val="22"/>
        </w:rPr>
      </w:pPr>
    </w:p>
    <w:p w:rsidR="00941EEB" w:rsidRPr="003755B7" w:rsidRDefault="00941EEB" w:rsidP="00941EEB">
      <w:pPr>
        <w:rPr>
          <w:rFonts w:asciiTheme="minorHAnsi" w:hAnsiTheme="minorHAnsi"/>
          <w:sz w:val="22"/>
          <w:szCs w:val="22"/>
        </w:rPr>
      </w:pPr>
    </w:p>
    <w:p w:rsidR="00941EEB" w:rsidRPr="003755B7" w:rsidRDefault="00A94484" w:rsidP="00941EEB">
      <w:pPr>
        <w:rPr>
          <w:rFonts w:asciiTheme="minorHAnsi" w:hAnsiTheme="minorHAnsi"/>
          <w:i/>
          <w:color w:val="FF0000"/>
          <w:sz w:val="22"/>
          <w:szCs w:val="22"/>
        </w:rPr>
      </w:pPr>
      <w:r>
        <w:rPr>
          <w:rFonts w:asciiTheme="minorHAnsi" w:hAnsiTheme="minorHAnsi"/>
          <w:i/>
          <w:color w:val="FF0000"/>
          <w:sz w:val="22"/>
          <w:szCs w:val="22"/>
        </w:rPr>
        <w:t>[</w:t>
      </w:r>
      <w:r w:rsidR="00941EEB" w:rsidRPr="003755B7">
        <w:rPr>
          <w:rFonts w:asciiTheme="minorHAnsi" w:hAnsiTheme="minorHAnsi"/>
          <w:i/>
          <w:color w:val="FF0000"/>
          <w:sz w:val="22"/>
          <w:szCs w:val="22"/>
        </w:rPr>
        <w:t>Date</w:t>
      </w:r>
      <w:r>
        <w:rPr>
          <w:rFonts w:asciiTheme="minorHAnsi" w:hAnsiTheme="minorHAnsi"/>
          <w:i/>
          <w:color w:val="FF0000"/>
          <w:sz w:val="22"/>
          <w:szCs w:val="22"/>
        </w:rPr>
        <w:t>]</w:t>
      </w:r>
    </w:p>
    <w:p w:rsidR="00941EEB" w:rsidRPr="003755B7" w:rsidRDefault="00941EEB" w:rsidP="00941EEB">
      <w:pPr>
        <w:rPr>
          <w:rFonts w:asciiTheme="minorHAnsi" w:hAnsiTheme="minorHAnsi"/>
          <w:sz w:val="22"/>
          <w:szCs w:val="22"/>
        </w:rPr>
      </w:pPr>
    </w:p>
    <w:p w:rsidR="00941EEB" w:rsidRPr="003755B7" w:rsidRDefault="00941EEB" w:rsidP="00941EEB">
      <w:pPr>
        <w:rPr>
          <w:rFonts w:asciiTheme="minorHAnsi" w:hAnsiTheme="minorHAnsi"/>
          <w:sz w:val="22"/>
          <w:szCs w:val="22"/>
        </w:rPr>
      </w:pPr>
      <w:r w:rsidRPr="003755B7">
        <w:rPr>
          <w:rFonts w:asciiTheme="minorHAnsi" w:hAnsiTheme="minorHAnsi"/>
          <w:sz w:val="22"/>
          <w:szCs w:val="22"/>
        </w:rPr>
        <w:t>Objet : désignation d’un pharmacien en application de l’article 7 de l’arrêté du 12 mars 2013</w:t>
      </w:r>
    </w:p>
    <w:p w:rsidR="00941EEB" w:rsidRPr="003755B7" w:rsidRDefault="00941EEB" w:rsidP="00941EEB">
      <w:pPr>
        <w:rPr>
          <w:rFonts w:asciiTheme="minorHAnsi" w:hAnsiTheme="minorHAnsi"/>
          <w:sz w:val="22"/>
          <w:szCs w:val="22"/>
        </w:rPr>
      </w:pPr>
    </w:p>
    <w:p w:rsidR="00941EEB" w:rsidRDefault="00941EEB" w:rsidP="00941EEB">
      <w:pPr>
        <w:rPr>
          <w:rFonts w:asciiTheme="minorHAnsi" w:hAnsiTheme="minorHAnsi"/>
          <w:sz w:val="22"/>
          <w:szCs w:val="22"/>
        </w:rPr>
      </w:pPr>
      <w:r w:rsidRPr="003755B7">
        <w:rPr>
          <w:rFonts w:asciiTheme="minorHAnsi" w:hAnsiTheme="minorHAnsi"/>
          <w:sz w:val="22"/>
          <w:szCs w:val="22"/>
        </w:rPr>
        <w:t xml:space="preserve">Monsieur le Président, </w:t>
      </w:r>
    </w:p>
    <w:p w:rsidR="00A94484" w:rsidRPr="003755B7" w:rsidRDefault="00A94484" w:rsidP="00941EEB">
      <w:pPr>
        <w:rPr>
          <w:rFonts w:asciiTheme="minorHAnsi" w:hAnsiTheme="minorHAnsi"/>
          <w:sz w:val="22"/>
          <w:szCs w:val="22"/>
        </w:rPr>
      </w:pPr>
    </w:p>
    <w:p w:rsidR="00941EEB" w:rsidRPr="003755B7" w:rsidRDefault="00941EEB" w:rsidP="00941EEB">
      <w:pPr>
        <w:jc w:val="both"/>
        <w:rPr>
          <w:rFonts w:asciiTheme="minorHAnsi" w:hAnsiTheme="minorHAnsi"/>
          <w:sz w:val="22"/>
          <w:szCs w:val="22"/>
        </w:rPr>
      </w:pPr>
      <w:r w:rsidRPr="003755B7">
        <w:rPr>
          <w:rFonts w:asciiTheme="minorHAnsi" w:hAnsiTheme="minorHAnsi"/>
          <w:sz w:val="22"/>
          <w:szCs w:val="22"/>
        </w:rPr>
        <w:t xml:space="preserve">En charge de la gérance de la pharmacie à usage intérieur du </w:t>
      </w:r>
      <w:r w:rsidRPr="003755B7">
        <w:rPr>
          <w:rFonts w:asciiTheme="minorHAnsi" w:hAnsiTheme="minorHAnsi"/>
          <w:b/>
          <w:sz w:val="22"/>
          <w:szCs w:val="22"/>
        </w:rPr>
        <w:t>Centre Hospitalier de Sancerre</w:t>
      </w:r>
      <w:r w:rsidRPr="003755B7">
        <w:rPr>
          <w:rFonts w:asciiTheme="minorHAnsi" w:hAnsiTheme="minorHAnsi"/>
          <w:sz w:val="22"/>
          <w:szCs w:val="22"/>
        </w:rPr>
        <w:t xml:space="preserve">, sise </w:t>
      </w:r>
      <w:r w:rsidRPr="003755B7">
        <w:rPr>
          <w:rFonts w:asciiTheme="minorHAnsi" w:hAnsiTheme="minorHAnsi"/>
          <w:b/>
          <w:sz w:val="22"/>
          <w:szCs w:val="22"/>
        </w:rPr>
        <w:t>Rempart des Augustins, 18300 SANCERRE</w:t>
      </w:r>
      <w:r w:rsidRPr="003755B7">
        <w:rPr>
          <w:rFonts w:asciiTheme="minorHAnsi" w:hAnsiTheme="minorHAnsi"/>
          <w:sz w:val="22"/>
          <w:szCs w:val="22"/>
        </w:rPr>
        <w:t xml:space="preserve">, je souhaite procéder à la dénaturation de produits stupéfiants périmés, altérés ou retournés. </w:t>
      </w:r>
    </w:p>
    <w:p w:rsidR="00941EEB" w:rsidRPr="003755B7" w:rsidRDefault="00941EEB" w:rsidP="00941EEB">
      <w:pPr>
        <w:jc w:val="both"/>
        <w:rPr>
          <w:rFonts w:asciiTheme="minorHAnsi" w:hAnsiTheme="minorHAnsi"/>
          <w:sz w:val="22"/>
          <w:szCs w:val="22"/>
        </w:rPr>
      </w:pPr>
      <w:r w:rsidRPr="003755B7">
        <w:rPr>
          <w:rFonts w:asciiTheme="minorHAnsi" w:hAnsiTheme="minorHAnsi"/>
          <w:sz w:val="22"/>
          <w:szCs w:val="22"/>
        </w:rPr>
        <w:t>La dénaturation des produits stupéfiants se fera à l’adresse :</w:t>
      </w:r>
    </w:p>
    <w:p w:rsidR="00941EEB" w:rsidRPr="003755B7" w:rsidRDefault="00941EEB" w:rsidP="00941EEB">
      <w:pPr>
        <w:contextualSpacing/>
        <w:jc w:val="center"/>
        <w:rPr>
          <w:rFonts w:asciiTheme="minorHAnsi" w:hAnsiTheme="minorHAnsi"/>
          <w:b/>
          <w:sz w:val="22"/>
          <w:szCs w:val="22"/>
        </w:rPr>
      </w:pPr>
      <w:r w:rsidRPr="003755B7">
        <w:rPr>
          <w:rFonts w:asciiTheme="minorHAnsi" w:hAnsiTheme="minorHAnsi"/>
          <w:b/>
          <w:sz w:val="22"/>
          <w:szCs w:val="22"/>
        </w:rPr>
        <w:t>Centre Hospitalier de Sancerre,</w:t>
      </w:r>
    </w:p>
    <w:p w:rsidR="00941EEB" w:rsidRPr="003755B7" w:rsidRDefault="00941EEB" w:rsidP="00941EEB">
      <w:pPr>
        <w:contextualSpacing/>
        <w:jc w:val="center"/>
        <w:rPr>
          <w:rFonts w:asciiTheme="minorHAnsi" w:hAnsiTheme="minorHAnsi"/>
          <w:b/>
          <w:sz w:val="22"/>
          <w:szCs w:val="22"/>
        </w:rPr>
      </w:pPr>
      <w:r w:rsidRPr="003755B7">
        <w:rPr>
          <w:rFonts w:asciiTheme="minorHAnsi" w:hAnsiTheme="minorHAnsi"/>
          <w:b/>
          <w:sz w:val="22"/>
          <w:szCs w:val="22"/>
        </w:rPr>
        <w:t>Rempart des Augustins</w:t>
      </w:r>
    </w:p>
    <w:p w:rsidR="00941EEB" w:rsidRPr="003755B7" w:rsidRDefault="00941EEB" w:rsidP="00941EEB">
      <w:pPr>
        <w:contextualSpacing/>
        <w:jc w:val="center"/>
        <w:rPr>
          <w:rFonts w:asciiTheme="minorHAnsi" w:hAnsiTheme="minorHAnsi"/>
          <w:b/>
          <w:sz w:val="22"/>
          <w:szCs w:val="22"/>
        </w:rPr>
      </w:pPr>
      <w:r w:rsidRPr="003755B7">
        <w:rPr>
          <w:rFonts w:asciiTheme="minorHAnsi" w:hAnsiTheme="minorHAnsi"/>
          <w:b/>
          <w:sz w:val="22"/>
          <w:szCs w:val="22"/>
        </w:rPr>
        <w:t>18300 SANCERRE</w:t>
      </w:r>
    </w:p>
    <w:p w:rsidR="00941EEB" w:rsidRPr="003755B7" w:rsidRDefault="00941EEB" w:rsidP="00941EEB">
      <w:pPr>
        <w:contextualSpacing/>
        <w:jc w:val="center"/>
        <w:rPr>
          <w:rFonts w:asciiTheme="minorHAnsi" w:hAnsiTheme="minorHAnsi"/>
          <w:sz w:val="22"/>
          <w:szCs w:val="22"/>
        </w:rPr>
      </w:pPr>
    </w:p>
    <w:p w:rsidR="00941EEB" w:rsidRPr="003755B7" w:rsidRDefault="00941EEB" w:rsidP="00941EEB">
      <w:pPr>
        <w:jc w:val="both"/>
        <w:rPr>
          <w:rFonts w:asciiTheme="minorHAnsi" w:hAnsiTheme="minorHAnsi"/>
          <w:sz w:val="22"/>
          <w:szCs w:val="22"/>
        </w:rPr>
      </w:pPr>
      <w:r w:rsidRPr="003755B7">
        <w:rPr>
          <w:rFonts w:asciiTheme="minorHAnsi" w:hAnsiTheme="minorHAnsi"/>
          <w:sz w:val="22"/>
          <w:szCs w:val="22"/>
        </w:rPr>
        <w:t>A ce titre, je vous sollicite afin de désigner un pharmacien en charge de la gérance d’une pharmacie à usage intérieur en présence duquel sera assurée la dénaturation des substances, préparations et médicaments classés comme stupéfiants et assimilés, en application des dispositions de l’article 7 de l’arrêté du 12 mars 2013.</w:t>
      </w:r>
    </w:p>
    <w:p w:rsidR="00941EEB" w:rsidRPr="003755B7" w:rsidRDefault="00941EEB" w:rsidP="00941EEB">
      <w:pPr>
        <w:jc w:val="both"/>
        <w:rPr>
          <w:rFonts w:asciiTheme="minorHAnsi" w:hAnsiTheme="minorHAnsi"/>
          <w:sz w:val="22"/>
          <w:szCs w:val="22"/>
        </w:rPr>
      </w:pPr>
    </w:p>
    <w:p w:rsidR="00941EEB" w:rsidRPr="003755B7" w:rsidRDefault="00941EEB" w:rsidP="00941EEB">
      <w:pPr>
        <w:jc w:val="both"/>
        <w:rPr>
          <w:rFonts w:asciiTheme="minorHAnsi" w:hAnsiTheme="minorHAnsi"/>
          <w:sz w:val="22"/>
          <w:szCs w:val="22"/>
        </w:rPr>
      </w:pPr>
      <w:r w:rsidRPr="003755B7">
        <w:rPr>
          <w:rFonts w:asciiTheme="minorHAnsi" w:hAnsiTheme="minorHAnsi"/>
          <w:sz w:val="22"/>
          <w:szCs w:val="22"/>
        </w:rPr>
        <w:t>Je vous prie de croire, Monsieur le Président, à l’assurance de mes confraternelles salutations.</w:t>
      </w:r>
    </w:p>
    <w:p w:rsidR="00941EEB" w:rsidRPr="003755B7" w:rsidRDefault="00941EEB" w:rsidP="00941EEB">
      <w:pPr>
        <w:jc w:val="both"/>
        <w:rPr>
          <w:rFonts w:asciiTheme="minorHAnsi" w:hAnsiTheme="minorHAns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41EEB" w:rsidRPr="003755B7" w:rsidTr="00941EEB">
        <w:tc>
          <w:tcPr>
            <w:tcW w:w="4606" w:type="dxa"/>
          </w:tcPr>
          <w:p w:rsidR="00941EEB" w:rsidRPr="003755B7" w:rsidRDefault="00941EEB" w:rsidP="00D91D56">
            <w:pPr>
              <w:jc w:val="both"/>
              <w:rPr>
                <w:rFonts w:asciiTheme="minorHAnsi" w:hAnsiTheme="minorHAnsi"/>
              </w:rPr>
            </w:pPr>
            <w:r w:rsidRPr="003755B7">
              <w:rPr>
                <w:rFonts w:asciiTheme="minorHAnsi" w:hAnsiTheme="minorHAnsi"/>
              </w:rPr>
              <w:t xml:space="preserve">Madame Nelly Lainé, </w:t>
            </w:r>
          </w:p>
          <w:p w:rsidR="00941EEB" w:rsidRPr="003755B7" w:rsidRDefault="00941EEB" w:rsidP="00D91D56">
            <w:pPr>
              <w:jc w:val="both"/>
              <w:rPr>
                <w:rFonts w:asciiTheme="minorHAnsi" w:hAnsiTheme="minorHAnsi"/>
              </w:rPr>
            </w:pPr>
            <w:r w:rsidRPr="003755B7">
              <w:rPr>
                <w:rFonts w:asciiTheme="minorHAnsi" w:hAnsiTheme="minorHAnsi"/>
              </w:rPr>
              <w:t xml:space="preserve">Directeur, </w:t>
            </w:r>
          </w:p>
          <w:p w:rsidR="00941EEB" w:rsidRPr="003755B7" w:rsidRDefault="00941EEB" w:rsidP="00D91D56">
            <w:pPr>
              <w:jc w:val="both"/>
              <w:rPr>
                <w:rFonts w:asciiTheme="minorHAnsi" w:hAnsiTheme="minorHAnsi"/>
              </w:rPr>
            </w:pPr>
            <w:r w:rsidRPr="003755B7">
              <w:rPr>
                <w:rFonts w:asciiTheme="minorHAnsi" w:hAnsiTheme="minorHAnsi"/>
              </w:rPr>
              <w:t>Centre Hospitalier de Sancerre</w:t>
            </w:r>
          </w:p>
          <w:p w:rsidR="00941EEB" w:rsidRPr="003755B7" w:rsidRDefault="00941EEB" w:rsidP="00D91D56">
            <w:pPr>
              <w:jc w:val="both"/>
              <w:rPr>
                <w:rFonts w:asciiTheme="minorHAnsi" w:hAnsiTheme="minorHAnsi"/>
              </w:rPr>
            </w:pPr>
            <w:r w:rsidRPr="003755B7">
              <w:rPr>
                <w:rFonts w:asciiTheme="minorHAnsi" w:hAnsiTheme="minorHAnsi"/>
              </w:rPr>
              <w:t>Tél 02 48 78 52 25 - Fax 02 48 78 52 20</w:t>
            </w:r>
          </w:p>
          <w:p w:rsidR="00941EEB" w:rsidRPr="003755B7" w:rsidRDefault="00475F35" w:rsidP="00941EEB">
            <w:pPr>
              <w:jc w:val="both"/>
              <w:rPr>
                <w:rFonts w:asciiTheme="minorHAnsi" w:hAnsiTheme="minorHAnsi"/>
              </w:rPr>
            </w:pPr>
            <w:hyperlink r:id="rId8" w:history="1">
              <w:r w:rsidR="00941EEB" w:rsidRPr="003755B7">
                <w:rPr>
                  <w:rStyle w:val="Lienhypertexte"/>
                  <w:rFonts w:asciiTheme="minorHAnsi" w:hAnsiTheme="minorHAnsi"/>
                </w:rPr>
                <w:t>nlaine.direction@hopital-sancerre.fr</w:t>
              </w:r>
            </w:hyperlink>
          </w:p>
        </w:tc>
        <w:tc>
          <w:tcPr>
            <w:tcW w:w="4606" w:type="dxa"/>
          </w:tcPr>
          <w:p w:rsidR="00941EEB" w:rsidRPr="003755B7" w:rsidRDefault="00941EEB" w:rsidP="00D91D56">
            <w:pPr>
              <w:contextualSpacing/>
              <w:jc w:val="both"/>
              <w:rPr>
                <w:rFonts w:asciiTheme="minorHAnsi" w:hAnsiTheme="minorHAnsi"/>
              </w:rPr>
            </w:pPr>
            <w:r w:rsidRPr="003755B7">
              <w:rPr>
                <w:rFonts w:asciiTheme="minorHAnsi" w:hAnsiTheme="minorHAnsi"/>
              </w:rPr>
              <w:t>Dr Jacques Barthélémy,</w:t>
            </w:r>
          </w:p>
          <w:p w:rsidR="00941EEB" w:rsidRPr="003755B7" w:rsidRDefault="00941EEB" w:rsidP="00D91D56">
            <w:pPr>
              <w:contextualSpacing/>
              <w:jc w:val="both"/>
              <w:rPr>
                <w:rFonts w:asciiTheme="minorHAnsi" w:hAnsiTheme="minorHAnsi"/>
              </w:rPr>
            </w:pPr>
            <w:r w:rsidRPr="003755B7">
              <w:rPr>
                <w:rFonts w:asciiTheme="minorHAnsi" w:hAnsiTheme="minorHAnsi"/>
              </w:rPr>
              <w:t>Pharmacien des Hôpitaux, Gérant de la PUI</w:t>
            </w:r>
          </w:p>
          <w:p w:rsidR="00941EEB" w:rsidRPr="003755B7" w:rsidRDefault="00941EEB" w:rsidP="00D91D56">
            <w:pPr>
              <w:contextualSpacing/>
              <w:jc w:val="both"/>
              <w:rPr>
                <w:rFonts w:asciiTheme="minorHAnsi" w:hAnsiTheme="minorHAnsi"/>
              </w:rPr>
            </w:pPr>
            <w:r w:rsidRPr="003755B7">
              <w:rPr>
                <w:rFonts w:asciiTheme="minorHAnsi" w:hAnsiTheme="minorHAnsi"/>
              </w:rPr>
              <w:t>RPPS 10000809458 88 300 H</w:t>
            </w:r>
          </w:p>
          <w:p w:rsidR="00941EEB" w:rsidRPr="003755B7" w:rsidRDefault="00941EEB" w:rsidP="00D91D56">
            <w:pPr>
              <w:jc w:val="both"/>
              <w:rPr>
                <w:rFonts w:asciiTheme="minorHAnsi" w:hAnsiTheme="minorHAnsi"/>
              </w:rPr>
            </w:pPr>
            <w:r w:rsidRPr="003755B7">
              <w:rPr>
                <w:rFonts w:asciiTheme="minorHAnsi" w:hAnsiTheme="minorHAnsi"/>
              </w:rPr>
              <w:t>Tél 02 48 78 52 76 - Fax 02 48 78 52 10</w:t>
            </w:r>
          </w:p>
          <w:p w:rsidR="00941EEB" w:rsidRPr="003755B7" w:rsidRDefault="00475F35" w:rsidP="00941EEB">
            <w:pPr>
              <w:jc w:val="both"/>
              <w:rPr>
                <w:rFonts w:asciiTheme="minorHAnsi" w:hAnsiTheme="minorHAnsi"/>
              </w:rPr>
            </w:pPr>
            <w:hyperlink r:id="rId9" w:history="1">
              <w:r w:rsidR="00941EEB" w:rsidRPr="003755B7">
                <w:rPr>
                  <w:rStyle w:val="Lienhypertexte"/>
                  <w:rFonts w:asciiTheme="minorHAnsi" w:hAnsiTheme="minorHAnsi"/>
                </w:rPr>
                <w:t>pharmacie@hopital-sancerre.fr</w:t>
              </w:r>
            </w:hyperlink>
          </w:p>
        </w:tc>
      </w:tr>
    </w:tbl>
    <w:p w:rsidR="0087669E" w:rsidRPr="00E74602" w:rsidRDefault="0087669E" w:rsidP="003755B7">
      <w:pPr>
        <w:shd w:val="clear" w:color="auto" w:fill="FFFFFF"/>
        <w:spacing w:before="100" w:beforeAutospacing="1" w:after="100" w:afterAutospacing="1"/>
        <w:contextualSpacing/>
        <w:jc w:val="both"/>
        <w:rPr>
          <w:rFonts w:asciiTheme="minorHAnsi" w:hAnsiTheme="minorHAnsi" w:cs="Arial"/>
          <w:color w:val="333333"/>
          <w:sz w:val="22"/>
          <w:szCs w:val="22"/>
        </w:rPr>
      </w:pPr>
    </w:p>
    <w:sectPr w:rsidR="0087669E" w:rsidRPr="00E74602" w:rsidSect="00916A97">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2A1" w:rsidRDefault="006862A1" w:rsidP="004371CA">
      <w:r>
        <w:separator/>
      </w:r>
    </w:p>
  </w:endnote>
  <w:endnote w:type="continuationSeparator" w:id="0">
    <w:p w:rsidR="006862A1" w:rsidRDefault="006862A1" w:rsidP="0043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5032"/>
      <w:docPartObj>
        <w:docPartGallery w:val="Page Numbers (Bottom of Page)"/>
        <w:docPartUnique/>
      </w:docPartObj>
    </w:sdtPr>
    <w:sdtEndPr/>
    <w:sdtContent>
      <w:p w:rsidR="00F52144" w:rsidRPr="00B82D6C" w:rsidRDefault="00F52144" w:rsidP="00837BC7">
        <w:pPr>
          <w:pStyle w:val="Pieddepage"/>
          <w:shd w:val="clear" w:color="auto" w:fill="BFBFBF" w:themeFill="background1" w:themeFillShade="BF"/>
          <w:jc w:val="center"/>
          <w:rPr>
            <w:i/>
          </w:rPr>
        </w:pPr>
        <w:r w:rsidRPr="00B82D6C">
          <w:rPr>
            <w:i/>
          </w:rPr>
          <w:t>Ce docume</w:t>
        </w:r>
        <w:r>
          <w:rPr>
            <w:i/>
          </w:rPr>
          <w:t>nt est la propriété du centre hospitalier</w:t>
        </w:r>
        <w:r w:rsidRPr="00B82D6C">
          <w:rPr>
            <w:i/>
          </w:rPr>
          <w:t xml:space="preserve"> de Sancerre et ne peut être reproduit ou transmis sans notre permission expresse et écrite.</w:t>
        </w:r>
      </w:p>
      <w:p w:rsidR="00F52144" w:rsidRPr="00DE025A" w:rsidRDefault="00F52144" w:rsidP="00837BC7">
        <w:pPr>
          <w:pStyle w:val="Pieddepage"/>
          <w:jc w:val="center"/>
          <w:rPr>
            <w:sz w:val="16"/>
            <w:szCs w:val="16"/>
          </w:rPr>
        </w:pPr>
      </w:p>
      <w:p w:rsidR="00F52144" w:rsidRDefault="00475F35" w:rsidP="00837BC7">
        <w:pPr>
          <w:pStyle w:val="Pieddepage"/>
          <w:jc w:val="center"/>
        </w:pPr>
        <w:r>
          <w:fldChar w:fldCharType="begin"/>
        </w:r>
        <w:r>
          <w:instrText xml:space="preserve"> PAGE   \* MERGEFORMAT </w:instrText>
        </w:r>
        <w:r>
          <w:fldChar w:fldCharType="separate"/>
        </w:r>
        <w:r>
          <w:rPr>
            <w:noProof/>
          </w:rPr>
          <w:t>1</w:t>
        </w:r>
        <w:r>
          <w:rPr>
            <w:noProof/>
          </w:rPr>
          <w:fldChar w:fldCharType="end"/>
        </w:r>
        <w:r w:rsidR="00F52144">
          <w:t>/</w:t>
        </w:r>
        <w:r>
          <w:fldChar w:fldCharType="begin"/>
        </w:r>
        <w:r>
          <w:instrText xml:space="preserve"> NUMPAGES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2A1" w:rsidRDefault="006862A1" w:rsidP="004371CA">
      <w:r>
        <w:separator/>
      </w:r>
    </w:p>
  </w:footnote>
  <w:footnote w:type="continuationSeparator" w:id="0">
    <w:p w:rsidR="006862A1" w:rsidRDefault="006862A1" w:rsidP="00437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44" w:rsidRDefault="00475F3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84985" o:spid="_x0000_s23554" type="#_x0000_t136" style="position:absolute;margin-left:0;margin-top:0;width:586.05pt;height:53.25pt;rotation:315;z-index:-251654144;mso-position-horizontal:center;mso-position-horizontal-relative:margin;mso-position-vertical:center;mso-position-vertical-relative:margin" o:allowincell="f" fillcolor="#8db3e2 [1311]" stroked="f">
          <v:textpath style="font-family:&quot;Calibri&quot;;font-size:1pt" string="à présenter en COMEDIMS du 15 avril 201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16" w:type="dxa"/>
      <w:jc w:val="center"/>
      <w:tblCellSpacing w:w="20" w:type="dxa"/>
      <w:tblBorders>
        <w:insideH w:val="single" w:sz="6" w:space="0" w:color="6600FF"/>
        <w:insideV w:val="single" w:sz="6" w:space="0" w:color="6600FF"/>
      </w:tblBorders>
      <w:tblLayout w:type="fixed"/>
      <w:tblCellMar>
        <w:left w:w="70" w:type="dxa"/>
        <w:right w:w="70" w:type="dxa"/>
      </w:tblCellMar>
      <w:tblLook w:val="00BF" w:firstRow="1" w:lastRow="0" w:firstColumn="1" w:lastColumn="0" w:noHBand="0" w:noVBand="0"/>
    </w:tblPr>
    <w:tblGrid>
      <w:gridCol w:w="2330"/>
      <w:gridCol w:w="6480"/>
      <w:gridCol w:w="2406"/>
    </w:tblGrid>
    <w:tr w:rsidR="00F52144" w:rsidTr="00A059F3">
      <w:trPr>
        <w:trHeight w:val="691"/>
        <w:tblCellSpacing w:w="20" w:type="dxa"/>
        <w:jc w:val="center"/>
      </w:trPr>
      <w:tc>
        <w:tcPr>
          <w:tcW w:w="2270" w:type="dxa"/>
          <w:vAlign w:val="center"/>
        </w:tcPr>
        <w:p w:rsidR="00F52144" w:rsidRPr="004371CA" w:rsidRDefault="00F52144" w:rsidP="00A059F3">
          <w:pPr>
            <w:pStyle w:val="Pieddepage"/>
            <w:jc w:val="center"/>
            <w:rPr>
              <w:b/>
              <w:i/>
              <w:iCs/>
            </w:rPr>
          </w:pPr>
          <w:r w:rsidRPr="004371CA">
            <w:rPr>
              <w:b/>
              <w:i/>
              <w:iCs/>
            </w:rPr>
            <w:t>Procédure</w:t>
          </w:r>
          <w:r>
            <w:rPr>
              <w:b/>
              <w:i/>
              <w:iCs/>
            </w:rPr>
            <w:t>s</w:t>
          </w:r>
          <w:r w:rsidRPr="004371CA">
            <w:rPr>
              <w:b/>
              <w:i/>
              <w:iCs/>
            </w:rPr>
            <w:t xml:space="preserve"> et</w:t>
          </w:r>
        </w:p>
        <w:p w:rsidR="00F52144" w:rsidRDefault="00F52144" w:rsidP="00A059F3">
          <w:pPr>
            <w:pStyle w:val="Pieddepage"/>
            <w:jc w:val="center"/>
            <w:rPr>
              <w:i/>
              <w:iCs/>
            </w:rPr>
          </w:pPr>
          <w:r w:rsidRPr="004371CA">
            <w:rPr>
              <w:b/>
              <w:i/>
              <w:iCs/>
            </w:rPr>
            <w:t>Protocole</w:t>
          </w:r>
          <w:r>
            <w:rPr>
              <w:b/>
              <w:i/>
              <w:iCs/>
            </w:rPr>
            <w:t>s</w:t>
          </w:r>
        </w:p>
      </w:tc>
      <w:tc>
        <w:tcPr>
          <w:tcW w:w="6440" w:type="dxa"/>
          <w:vAlign w:val="center"/>
        </w:tcPr>
        <w:p w:rsidR="00F52144" w:rsidRPr="00AD0A4D" w:rsidRDefault="00F52144" w:rsidP="00DB2858">
          <w:pPr>
            <w:pStyle w:val="Titre1"/>
            <w:spacing w:line="240" w:lineRule="auto"/>
          </w:pPr>
          <w:r>
            <w:rPr>
              <w:b/>
              <w:bCs/>
              <w:sz w:val="28"/>
              <w:szCs w:val="28"/>
            </w:rPr>
            <w:t>CHAPITRE 07</w:t>
          </w:r>
          <w:r w:rsidRPr="00AD0A4D">
            <w:rPr>
              <w:b/>
              <w:bCs/>
              <w:sz w:val="28"/>
              <w:szCs w:val="28"/>
            </w:rPr>
            <w:t xml:space="preserve"> :</w:t>
          </w:r>
          <w:r>
            <w:rPr>
              <w:b/>
              <w:bCs/>
              <w:sz w:val="28"/>
              <w:szCs w:val="28"/>
            </w:rPr>
            <w:t xml:space="preserve"> Pharmacie</w:t>
          </w:r>
        </w:p>
      </w:tc>
      <w:tc>
        <w:tcPr>
          <w:tcW w:w="2346" w:type="dxa"/>
          <w:vAlign w:val="center"/>
        </w:tcPr>
        <w:p w:rsidR="00F52144" w:rsidRPr="004371CA" w:rsidRDefault="00F52144" w:rsidP="00C35B7E">
          <w:pPr>
            <w:jc w:val="center"/>
            <w:rPr>
              <w:i/>
              <w:iCs/>
            </w:rPr>
          </w:pPr>
          <w:r w:rsidRPr="004371CA">
            <w:rPr>
              <w:i/>
              <w:iCs/>
              <w:sz w:val="22"/>
            </w:rPr>
            <w:t>N°:</w:t>
          </w:r>
        </w:p>
        <w:p w:rsidR="00F52144" w:rsidRPr="00AD0A4D" w:rsidRDefault="00F52144" w:rsidP="00214E18">
          <w:pPr>
            <w:jc w:val="center"/>
            <w:rPr>
              <w:b/>
              <w:i/>
              <w:iCs/>
            </w:rPr>
          </w:pPr>
          <w:r>
            <w:rPr>
              <w:b/>
              <w:i/>
              <w:iCs/>
            </w:rPr>
            <w:t>PP-PHARM</w:t>
          </w:r>
          <w:r w:rsidR="00214E18">
            <w:rPr>
              <w:b/>
              <w:i/>
              <w:iCs/>
            </w:rPr>
            <w:t>-029</w:t>
          </w:r>
        </w:p>
      </w:tc>
    </w:tr>
    <w:tr w:rsidR="00F52144" w:rsidTr="00A059F3">
      <w:trPr>
        <w:trHeight w:val="289"/>
        <w:tblCellSpacing w:w="20" w:type="dxa"/>
        <w:jc w:val="center"/>
      </w:trPr>
      <w:tc>
        <w:tcPr>
          <w:tcW w:w="2270" w:type="dxa"/>
          <w:vMerge w:val="restart"/>
          <w:vAlign w:val="center"/>
        </w:tcPr>
        <w:p w:rsidR="00F52144" w:rsidRDefault="00F52144" w:rsidP="00A059F3">
          <w:pPr>
            <w:jc w:val="center"/>
            <w:rPr>
              <w:i/>
              <w:iCs/>
            </w:rPr>
          </w:pPr>
          <w:r>
            <w:rPr>
              <w:i/>
              <w:iCs/>
              <w:noProof/>
            </w:rPr>
            <w:drawing>
              <wp:inline distT="0" distB="0" distL="0" distR="0">
                <wp:extent cx="1343025" cy="539750"/>
                <wp:effectExtent l="19050" t="0" r="9525" b="0"/>
                <wp:docPr id="7" name="Image 0" descr="Logo Sancerre 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ncerre petit.JPG"/>
                        <pic:cNvPicPr/>
                      </pic:nvPicPr>
                      <pic:blipFill>
                        <a:blip r:embed="rId1"/>
                        <a:stretch>
                          <a:fillRect/>
                        </a:stretch>
                      </pic:blipFill>
                      <pic:spPr>
                        <a:xfrm>
                          <a:off x="0" y="0"/>
                          <a:ext cx="1343025" cy="539750"/>
                        </a:xfrm>
                        <a:prstGeom prst="rect">
                          <a:avLst/>
                        </a:prstGeom>
                      </pic:spPr>
                    </pic:pic>
                  </a:graphicData>
                </a:graphic>
              </wp:inline>
            </w:drawing>
          </w:r>
        </w:p>
      </w:tc>
      <w:tc>
        <w:tcPr>
          <w:tcW w:w="6440" w:type="dxa"/>
          <w:vMerge w:val="restart"/>
          <w:vAlign w:val="center"/>
        </w:tcPr>
        <w:p w:rsidR="00F52144" w:rsidRPr="002E5FB4" w:rsidRDefault="00F52144" w:rsidP="008B6212">
          <w:pPr>
            <w:jc w:val="center"/>
            <w:rPr>
              <w:b/>
              <w:bCs/>
              <w:i/>
              <w:iCs/>
              <w:sz w:val="28"/>
              <w:szCs w:val="28"/>
            </w:rPr>
          </w:pPr>
          <w:r>
            <w:rPr>
              <w:b/>
              <w:color w:val="FF0000"/>
              <w:sz w:val="28"/>
              <w:szCs w:val="28"/>
            </w:rPr>
            <w:t>Destruction des stupéfiants</w:t>
          </w:r>
        </w:p>
      </w:tc>
      <w:tc>
        <w:tcPr>
          <w:tcW w:w="2346" w:type="dxa"/>
          <w:vAlign w:val="center"/>
        </w:tcPr>
        <w:p w:rsidR="00F52144" w:rsidRDefault="00F52144" w:rsidP="00A059F3">
          <w:pPr>
            <w:rPr>
              <w:i/>
              <w:iCs/>
            </w:rPr>
          </w:pPr>
          <w:r w:rsidRPr="004371CA">
            <w:rPr>
              <w:i/>
              <w:iCs/>
            </w:rPr>
            <w:t>Version :</w:t>
          </w:r>
          <w:r>
            <w:rPr>
              <w:i/>
              <w:iCs/>
            </w:rPr>
            <w:t xml:space="preserve"> </w:t>
          </w:r>
        </w:p>
      </w:tc>
    </w:tr>
    <w:tr w:rsidR="00F52144" w:rsidTr="00A059F3">
      <w:trPr>
        <w:trHeight w:val="289"/>
        <w:tblCellSpacing w:w="20" w:type="dxa"/>
        <w:jc w:val="center"/>
      </w:trPr>
      <w:tc>
        <w:tcPr>
          <w:tcW w:w="2270" w:type="dxa"/>
          <w:vMerge/>
          <w:vAlign w:val="center"/>
        </w:tcPr>
        <w:p w:rsidR="00F52144" w:rsidRDefault="00F52144" w:rsidP="00A059F3">
          <w:pPr>
            <w:pStyle w:val="Pieddepage"/>
            <w:spacing w:before="120"/>
            <w:jc w:val="center"/>
            <w:rPr>
              <w:i/>
              <w:iCs/>
            </w:rPr>
          </w:pPr>
        </w:p>
      </w:tc>
      <w:tc>
        <w:tcPr>
          <w:tcW w:w="6440" w:type="dxa"/>
          <w:vMerge/>
        </w:tcPr>
        <w:p w:rsidR="00F52144" w:rsidRPr="008F6240" w:rsidRDefault="00F52144" w:rsidP="00A059F3">
          <w:pPr>
            <w:pStyle w:val="En-tte"/>
            <w:tabs>
              <w:tab w:val="left" w:pos="708"/>
            </w:tabs>
            <w:rPr>
              <w:i/>
              <w:iCs/>
              <w:color w:val="FF0000"/>
            </w:rPr>
          </w:pPr>
        </w:p>
      </w:tc>
      <w:tc>
        <w:tcPr>
          <w:tcW w:w="2346" w:type="dxa"/>
          <w:vAlign w:val="center"/>
        </w:tcPr>
        <w:p w:rsidR="00F52144" w:rsidRDefault="00F52144" w:rsidP="008B6212">
          <w:pPr>
            <w:rPr>
              <w:i/>
              <w:iCs/>
            </w:rPr>
          </w:pPr>
          <w:r w:rsidRPr="004371CA">
            <w:rPr>
              <w:i/>
              <w:iCs/>
            </w:rPr>
            <w:t>Date :</w:t>
          </w:r>
          <w:r>
            <w:rPr>
              <w:i/>
              <w:iCs/>
            </w:rPr>
            <w:t xml:space="preserve"> 25 février 2014</w:t>
          </w:r>
        </w:p>
      </w:tc>
    </w:tr>
    <w:tr w:rsidR="00F52144" w:rsidTr="00A059F3">
      <w:trPr>
        <w:trHeight w:val="289"/>
        <w:tblCellSpacing w:w="20" w:type="dxa"/>
        <w:jc w:val="center"/>
      </w:trPr>
      <w:tc>
        <w:tcPr>
          <w:tcW w:w="2270" w:type="dxa"/>
          <w:vMerge/>
          <w:vAlign w:val="center"/>
        </w:tcPr>
        <w:p w:rsidR="00F52144" w:rsidRDefault="00F52144" w:rsidP="00A059F3">
          <w:pPr>
            <w:pStyle w:val="Pieddepage"/>
            <w:spacing w:before="120"/>
            <w:jc w:val="center"/>
            <w:rPr>
              <w:i/>
              <w:iCs/>
            </w:rPr>
          </w:pPr>
        </w:p>
      </w:tc>
      <w:tc>
        <w:tcPr>
          <w:tcW w:w="6440" w:type="dxa"/>
          <w:vMerge/>
        </w:tcPr>
        <w:p w:rsidR="00F52144" w:rsidRPr="008F6240" w:rsidRDefault="00F52144" w:rsidP="00A059F3">
          <w:pPr>
            <w:pStyle w:val="En-tte"/>
            <w:tabs>
              <w:tab w:val="left" w:pos="708"/>
            </w:tabs>
            <w:rPr>
              <w:i/>
              <w:iCs/>
              <w:color w:val="FF0000"/>
            </w:rPr>
          </w:pPr>
        </w:p>
      </w:tc>
      <w:tc>
        <w:tcPr>
          <w:tcW w:w="2346" w:type="dxa"/>
          <w:vAlign w:val="center"/>
        </w:tcPr>
        <w:p w:rsidR="00F52144" w:rsidRDefault="00F52144" w:rsidP="00A059F3">
          <w:pPr>
            <w:rPr>
              <w:i/>
              <w:iCs/>
            </w:rPr>
          </w:pPr>
          <w:r w:rsidRPr="004371CA">
            <w:rPr>
              <w:i/>
              <w:iCs/>
            </w:rPr>
            <w:t>Remplace :</w:t>
          </w:r>
          <w:r>
            <w:rPr>
              <w:i/>
              <w:iCs/>
            </w:rPr>
            <w:t xml:space="preserve"> </w:t>
          </w:r>
        </w:p>
      </w:tc>
    </w:tr>
    <w:tr w:rsidR="00F52144" w:rsidTr="00A059F3">
      <w:trPr>
        <w:trHeight w:val="98"/>
        <w:tblCellSpacing w:w="20" w:type="dxa"/>
        <w:jc w:val="center"/>
      </w:trPr>
      <w:tc>
        <w:tcPr>
          <w:tcW w:w="2270" w:type="dxa"/>
          <w:vMerge/>
          <w:vAlign w:val="center"/>
        </w:tcPr>
        <w:p w:rsidR="00F52144" w:rsidRDefault="00F52144" w:rsidP="00A059F3">
          <w:pPr>
            <w:pStyle w:val="Pieddepage"/>
            <w:spacing w:before="120"/>
            <w:jc w:val="center"/>
            <w:rPr>
              <w:i/>
              <w:iCs/>
            </w:rPr>
          </w:pPr>
        </w:p>
      </w:tc>
      <w:tc>
        <w:tcPr>
          <w:tcW w:w="6440" w:type="dxa"/>
          <w:vMerge/>
        </w:tcPr>
        <w:p w:rsidR="00F52144" w:rsidRPr="008F6240" w:rsidRDefault="00F52144" w:rsidP="00A059F3">
          <w:pPr>
            <w:pStyle w:val="En-tte"/>
            <w:tabs>
              <w:tab w:val="left" w:pos="708"/>
            </w:tabs>
            <w:rPr>
              <w:i/>
              <w:iCs/>
              <w:color w:val="FF0000"/>
            </w:rPr>
          </w:pPr>
        </w:p>
      </w:tc>
      <w:tc>
        <w:tcPr>
          <w:tcW w:w="2346" w:type="dxa"/>
          <w:vAlign w:val="center"/>
        </w:tcPr>
        <w:p w:rsidR="00F52144" w:rsidRDefault="00F52144" w:rsidP="00A059F3">
          <w:pPr>
            <w:rPr>
              <w:i/>
              <w:iCs/>
            </w:rPr>
          </w:pPr>
          <w:r w:rsidRPr="004371CA">
            <w:rPr>
              <w:i/>
              <w:iCs/>
            </w:rPr>
            <w:t>Nb pages :</w:t>
          </w:r>
          <w:r>
            <w:rPr>
              <w:i/>
              <w:iCs/>
            </w:rPr>
            <w:t xml:space="preserve"> </w:t>
          </w:r>
          <w:r w:rsidR="0024357D" w:rsidRPr="004371CA">
            <w:rPr>
              <w:b/>
            </w:rPr>
            <w:fldChar w:fldCharType="begin"/>
          </w:r>
          <w:r w:rsidRPr="004371CA">
            <w:rPr>
              <w:b/>
            </w:rPr>
            <w:instrText xml:space="preserve"> NUMPAGES </w:instrText>
          </w:r>
          <w:r w:rsidR="0024357D" w:rsidRPr="004371CA">
            <w:rPr>
              <w:b/>
            </w:rPr>
            <w:fldChar w:fldCharType="separate"/>
          </w:r>
          <w:r w:rsidR="00475F35">
            <w:rPr>
              <w:b/>
              <w:noProof/>
            </w:rPr>
            <w:t>6</w:t>
          </w:r>
          <w:r w:rsidR="0024357D" w:rsidRPr="004371CA">
            <w:rPr>
              <w:b/>
            </w:rPr>
            <w:fldChar w:fldCharType="end"/>
          </w:r>
        </w:p>
      </w:tc>
    </w:tr>
  </w:tbl>
  <w:p w:rsidR="00F52144" w:rsidRPr="00916A97" w:rsidRDefault="00475F35" w:rsidP="00916A97">
    <w:pPr>
      <w:pStyle w:val="En-tte"/>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84986" o:spid="_x0000_s23556" type="#_x0000_t136" style="position:absolute;margin-left:0;margin-top:0;width:586.05pt;height:53.25pt;rotation:315;z-index:-251652096;mso-position-horizontal:center;mso-position-horizontal-relative:margin;mso-position-vertical:center;mso-position-vertical-relative:margin" o:allowincell="f" fillcolor="#8db3e2 [1311]" stroked="f">
          <v:textpath style="font-family:&quot;Calibri&quot;;font-size:1pt" string="à présenter en COMEDIMS du 15 avril 2014"/>
          <w10:wrap anchorx="margin" anchory="margin"/>
        </v:shape>
      </w:pict>
    </w:r>
  </w:p>
  <w:p w:rsidR="00F52144" w:rsidRPr="0062262F" w:rsidRDefault="00F52144">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44" w:rsidRDefault="00475F3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84984" o:spid="_x0000_s23553" type="#_x0000_t136" style="position:absolute;margin-left:0;margin-top:0;width:586.05pt;height:53.25pt;rotation:315;z-index:-251656192;mso-position-horizontal:center;mso-position-horizontal-relative:margin;mso-position-vertical:center;mso-position-vertical-relative:margin" o:allowincell="f" fillcolor="#8db3e2 [1311]" stroked="f">
          <v:textpath style="font-family:&quot;Calibri&quot;;font-size:1pt" string="à présenter en COMEDIMS du 15 avril 201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CD6"/>
    <w:multiLevelType w:val="hybridMultilevel"/>
    <w:tmpl w:val="7CB01386"/>
    <w:lvl w:ilvl="0" w:tplc="A51CC694">
      <w:start w:val="30"/>
      <w:numFmt w:val="bullet"/>
      <w:lvlText w:val="-"/>
      <w:lvlJc w:val="left"/>
      <w:pPr>
        <w:ind w:left="360" w:hanging="360"/>
      </w:pPr>
      <w:rPr>
        <w:rFonts w:ascii="Calibri" w:eastAsia="Corbel" w:hAnsi="Calibri" w:cs="Corbe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825A1E"/>
    <w:multiLevelType w:val="hybridMultilevel"/>
    <w:tmpl w:val="057224DA"/>
    <w:lvl w:ilvl="0" w:tplc="81A054A2">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0C339B8"/>
    <w:multiLevelType w:val="hybridMultilevel"/>
    <w:tmpl w:val="EABE0A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9B4280"/>
    <w:multiLevelType w:val="hybridMultilevel"/>
    <w:tmpl w:val="DE3EA446"/>
    <w:lvl w:ilvl="0" w:tplc="81A054A2">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1014ADE"/>
    <w:multiLevelType w:val="hybridMultilevel"/>
    <w:tmpl w:val="95A0861C"/>
    <w:lvl w:ilvl="0" w:tplc="A51CC694">
      <w:start w:val="30"/>
      <w:numFmt w:val="bullet"/>
      <w:lvlText w:val="-"/>
      <w:lvlJc w:val="left"/>
      <w:pPr>
        <w:ind w:left="360" w:hanging="360"/>
      </w:pPr>
      <w:rPr>
        <w:rFonts w:ascii="Calibri" w:eastAsia="Corbel" w:hAnsi="Calibri" w:cs="Corbe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4CC4D23"/>
    <w:multiLevelType w:val="hybridMultilevel"/>
    <w:tmpl w:val="55FE6152"/>
    <w:lvl w:ilvl="0" w:tplc="A51CC694">
      <w:start w:val="30"/>
      <w:numFmt w:val="bullet"/>
      <w:lvlText w:val="-"/>
      <w:lvlJc w:val="left"/>
      <w:pPr>
        <w:ind w:left="360" w:hanging="360"/>
      </w:pPr>
      <w:rPr>
        <w:rFonts w:ascii="Calibri" w:eastAsia="Corbel" w:hAnsi="Calibri" w:cs="Corbe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7FD3F6F"/>
    <w:multiLevelType w:val="hybridMultilevel"/>
    <w:tmpl w:val="D766EA6E"/>
    <w:lvl w:ilvl="0" w:tplc="A51CC694">
      <w:start w:val="30"/>
      <w:numFmt w:val="bullet"/>
      <w:lvlText w:val="-"/>
      <w:lvlJc w:val="left"/>
      <w:pPr>
        <w:ind w:left="360" w:hanging="360"/>
      </w:pPr>
      <w:rPr>
        <w:rFonts w:ascii="Calibri" w:eastAsia="Corbel" w:hAnsi="Calibri" w:cs="Corbe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0445A5F"/>
    <w:multiLevelType w:val="hybridMultilevel"/>
    <w:tmpl w:val="82321F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E5329D"/>
    <w:multiLevelType w:val="hybridMultilevel"/>
    <w:tmpl w:val="C52CD89A"/>
    <w:lvl w:ilvl="0" w:tplc="A51CC694">
      <w:start w:val="30"/>
      <w:numFmt w:val="bullet"/>
      <w:lvlText w:val="-"/>
      <w:lvlJc w:val="left"/>
      <w:pPr>
        <w:ind w:left="360" w:hanging="360"/>
      </w:pPr>
      <w:rPr>
        <w:rFonts w:ascii="Calibri" w:eastAsia="Corbel" w:hAnsi="Calibri" w:cs="Corbe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FFC2374"/>
    <w:multiLevelType w:val="hybridMultilevel"/>
    <w:tmpl w:val="AD3C7710"/>
    <w:lvl w:ilvl="0" w:tplc="81A054A2">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8F7B9D"/>
    <w:multiLevelType w:val="hybridMultilevel"/>
    <w:tmpl w:val="324CD3D0"/>
    <w:lvl w:ilvl="0" w:tplc="81A054A2">
      <w:start w:val="1"/>
      <w:numFmt w:val="bullet"/>
      <w:lvlText w:val="►"/>
      <w:lvlJc w:val="left"/>
      <w:pPr>
        <w:ind w:left="360" w:hanging="360"/>
      </w:pPr>
      <w:rPr>
        <w:rFonts w:ascii="Arial Narrow" w:hAnsi="Arial Narro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8A35812"/>
    <w:multiLevelType w:val="hybridMultilevel"/>
    <w:tmpl w:val="C07CF2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3"/>
  </w:num>
  <w:num w:numId="5">
    <w:abstractNumId w:val="1"/>
  </w:num>
  <w:num w:numId="6">
    <w:abstractNumId w:val="10"/>
  </w:num>
  <w:num w:numId="7">
    <w:abstractNumId w:val="11"/>
  </w:num>
  <w:num w:numId="8">
    <w:abstractNumId w:val="9"/>
  </w:num>
  <w:num w:numId="9">
    <w:abstractNumId w:val="0"/>
  </w:num>
  <w:num w:numId="10">
    <w:abstractNumId w:val="8"/>
  </w:num>
  <w:num w:numId="11">
    <w:abstractNumId w:val="4"/>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355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CA"/>
    <w:rsid w:val="00027D9F"/>
    <w:rsid w:val="000348B8"/>
    <w:rsid w:val="00040FBF"/>
    <w:rsid w:val="000A2B9F"/>
    <w:rsid w:val="000A2DD8"/>
    <w:rsid w:val="000B2ED7"/>
    <w:rsid w:val="00140CC2"/>
    <w:rsid w:val="001908B5"/>
    <w:rsid w:val="001B2E83"/>
    <w:rsid w:val="001C3C7B"/>
    <w:rsid w:val="001C5518"/>
    <w:rsid w:val="001D1654"/>
    <w:rsid w:val="001D4E6F"/>
    <w:rsid w:val="0020209C"/>
    <w:rsid w:val="002071B1"/>
    <w:rsid w:val="00214E18"/>
    <w:rsid w:val="0024357D"/>
    <w:rsid w:val="00247B00"/>
    <w:rsid w:val="002536E1"/>
    <w:rsid w:val="002A0F07"/>
    <w:rsid w:val="002A62DE"/>
    <w:rsid w:val="002A69D2"/>
    <w:rsid w:val="002B3E16"/>
    <w:rsid w:val="002B4EBA"/>
    <w:rsid w:val="002D2A30"/>
    <w:rsid w:val="002E5FB4"/>
    <w:rsid w:val="00317F60"/>
    <w:rsid w:val="00343D0B"/>
    <w:rsid w:val="003549BD"/>
    <w:rsid w:val="003755B7"/>
    <w:rsid w:val="003929CE"/>
    <w:rsid w:val="003A2B1E"/>
    <w:rsid w:val="003A2F5A"/>
    <w:rsid w:val="003A70BF"/>
    <w:rsid w:val="003C3941"/>
    <w:rsid w:val="003F2524"/>
    <w:rsid w:val="00405E15"/>
    <w:rsid w:val="004371CA"/>
    <w:rsid w:val="004640FF"/>
    <w:rsid w:val="00475F35"/>
    <w:rsid w:val="00481A5E"/>
    <w:rsid w:val="00490119"/>
    <w:rsid w:val="00492EC7"/>
    <w:rsid w:val="004C3078"/>
    <w:rsid w:val="004F0450"/>
    <w:rsid w:val="004F7903"/>
    <w:rsid w:val="00510109"/>
    <w:rsid w:val="00536C10"/>
    <w:rsid w:val="0054728F"/>
    <w:rsid w:val="00550833"/>
    <w:rsid w:val="00571A7D"/>
    <w:rsid w:val="005A486B"/>
    <w:rsid w:val="005C16E8"/>
    <w:rsid w:val="005F3EA0"/>
    <w:rsid w:val="005F6C47"/>
    <w:rsid w:val="0060341D"/>
    <w:rsid w:val="0062262F"/>
    <w:rsid w:val="00642334"/>
    <w:rsid w:val="006556C2"/>
    <w:rsid w:val="00656061"/>
    <w:rsid w:val="006862A1"/>
    <w:rsid w:val="006A1834"/>
    <w:rsid w:val="006E3F31"/>
    <w:rsid w:val="006F0094"/>
    <w:rsid w:val="00713DE6"/>
    <w:rsid w:val="00731EE9"/>
    <w:rsid w:val="0079742E"/>
    <w:rsid w:val="007D42D2"/>
    <w:rsid w:val="007D5761"/>
    <w:rsid w:val="007D6FFB"/>
    <w:rsid w:val="00801A1B"/>
    <w:rsid w:val="008218B0"/>
    <w:rsid w:val="00837BC7"/>
    <w:rsid w:val="008406B2"/>
    <w:rsid w:val="0087178F"/>
    <w:rsid w:val="0087669E"/>
    <w:rsid w:val="0089678D"/>
    <w:rsid w:val="008B2DD1"/>
    <w:rsid w:val="008B4932"/>
    <w:rsid w:val="008B6212"/>
    <w:rsid w:val="008C1048"/>
    <w:rsid w:val="008D045F"/>
    <w:rsid w:val="008F2A63"/>
    <w:rsid w:val="00916A97"/>
    <w:rsid w:val="0093661B"/>
    <w:rsid w:val="00940169"/>
    <w:rsid w:val="00941EEB"/>
    <w:rsid w:val="009D71CB"/>
    <w:rsid w:val="00A02AD7"/>
    <w:rsid w:val="00A059F3"/>
    <w:rsid w:val="00A069F6"/>
    <w:rsid w:val="00A165A9"/>
    <w:rsid w:val="00A2279C"/>
    <w:rsid w:val="00A346AD"/>
    <w:rsid w:val="00A428E8"/>
    <w:rsid w:val="00A67CAF"/>
    <w:rsid w:val="00A7367E"/>
    <w:rsid w:val="00A763C3"/>
    <w:rsid w:val="00A850A7"/>
    <w:rsid w:val="00A94484"/>
    <w:rsid w:val="00AA7955"/>
    <w:rsid w:val="00AD1A59"/>
    <w:rsid w:val="00AD6EF9"/>
    <w:rsid w:val="00B24B7A"/>
    <w:rsid w:val="00B24E1C"/>
    <w:rsid w:val="00B34E94"/>
    <w:rsid w:val="00B36838"/>
    <w:rsid w:val="00B40E71"/>
    <w:rsid w:val="00B44F47"/>
    <w:rsid w:val="00B5460E"/>
    <w:rsid w:val="00B676DB"/>
    <w:rsid w:val="00B80472"/>
    <w:rsid w:val="00BA0B8B"/>
    <w:rsid w:val="00BA5A4F"/>
    <w:rsid w:val="00BC0972"/>
    <w:rsid w:val="00BF4ED8"/>
    <w:rsid w:val="00C10650"/>
    <w:rsid w:val="00C12653"/>
    <w:rsid w:val="00C1551D"/>
    <w:rsid w:val="00C35B7E"/>
    <w:rsid w:val="00C44780"/>
    <w:rsid w:val="00CC6F93"/>
    <w:rsid w:val="00CD4D85"/>
    <w:rsid w:val="00D0445D"/>
    <w:rsid w:val="00D13251"/>
    <w:rsid w:val="00D13FF4"/>
    <w:rsid w:val="00D15670"/>
    <w:rsid w:val="00D4037E"/>
    <w:rsid w:val="00D40941"/>
    <w:rsid w:val="00D56614"/>
    <w:rsid w:val="00D751A8"/>
    <w:rsid w:val="00D76262"/>
    <w:rsid w:val="00DB2858"/>
    <w:rsid w:val="00DB39F1"/>
    <w:rsid w:val="00DB66DA"/>
    <w:rsid w:val="00DC7D6A"/>
    <w:rsid w:val="00DD0E3A"/>
    <w:rsid w:val="00DD34D0"/>
    <w:rsid w:val="00DE3C4C"/>
    <w:rsid w:val="00E17C59"/>
    <w:rsid w:val="00E3336F"/>
    <w:rsid w:val="00E33FDF"/>
    <w:rsid w:val="00E44131"/>
    <w:rsid w:val="00E463D8"/>
    <w:rsid w:val="00E52434"/>
    <w:rsid w:val="00E5387D"/>
    <w:rsid w:val="00E6738E"/>
    <w:rsid w:val="00E716A0"/>
    <w:rsid w:val="00E74602"/>
    <w:rsid w:val="00E80284"/>
    <w:rsid w:val="00EA7C87"/>
    <w:rsid w:val="00EB10A8"/>
    <w:rsid w:val="00EB1F27"/>
    <w:rsid w:val="00EB7759"/>
    <w:rsid w:val="00F02F74"/>
    <w:rsid w:val="00F52144"/>
    <w:rsid w:val="00F5442A"/>
    <w:rsid w:val="00F91B8E"/>
    <w:rsid w:val="00F944A3"/>
    <w:rsid w:val="00FC1B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7"/>
    <o:shapelayout v:ext="edit">
      <o:idmap v:ext="edit" data="1"/>
    </o:shapelayout>
  </w:shapeDefaults>
  <w:decimalSymbol w:val=","/>
  <w:listSeparator w:val=";"/>
  <w15:docId w15:val="{CF29F874-74CF-426A-A2B6-9ACD185A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1C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371CA"/>
    <w:pPr>
      <w:keepNext/>
      <w:spacing w:line="480" w:lineRule="auto"/>
      <w:jc w:val="center"/>
      <w:outlineLvl w:val="0"/>
    </w:pPr>
    <w:rPr>
      <w:i/>
      <w:iCs/>
      <w:color w:val="3366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371CA"/>
    <w:pPr>
      <w:tabs>
        <w:tab w:val="center" w:pos="4536"/>
        <w:tab w:val="right" w:pos="9072"/>
      </w:tabs>
    </w:pPr>
  </w:style>
  <w:style w:type="character" w:customStyle="1" w:styleId="En-tteCar">
    <w:name w:val="En-tête Car"/>
    <w:basedOn w:val="Policepardfaut"/>
    <w:link w:val="En-tte"/>
    <w:rsid w:val="004371CA"/>
  </w:style>
  <w:style w:type="paragraph" w:styleId="Pieddepage">
    <w:name w:val="footer"/>
    <w:basedOn w:val="Normal"/>
    <w:link w:val="PieddepageCar"/>
    <w:uiPriority w:val="99"/>
    <w:unhideWhenUsed/>
    <w:rsid w:val="004371CA"/>
    <w:pPr>
      <w:tabs>
        <w:tab w:val="center" w:pos="4536"/>
        <w:tab w:val="right" w:pos="9072"/>
      </w:tabs>
    </w:pPr>
  </w:style>
  <w:style w:type="character" w:customStyle="1" w:styleId="PieddepageCar">
    <w:name w:val="Pied de page Car"/>
    <w:basedOn w:val="Policepardfaut"/>
    <w:link w:val="Pieddepage"/>
    <w:uiPriority w:val="99"/>
    <w:rsid w:val="004371CA"/>
  </w:style>
  <w:style w:type="character" w:customStyle="1" w:styleId="Titre1Car">
    <w:name w:val="Titre 1 Car"/>
    <w:basedOn w:val="Policepardfaut"/>
    <w:link w:val="Titre1"/>
    <w:rsid w:val="004371CA"/>
    <w:rPr>
      <w:rFonts w:ascii="Times New Roman" w:eastAsia="Times New Roman" w:hAnsi="Times New Roman" w:cs="Times New Roman"/>
      <w:i/>
      <w:iCs/>
      <w:color w:val="3366FF"/>
      <w:szCs w:val="24"/>
      <w:lang w:eastAsia="fr-FR"/>
    </w:rPr>
  </w:style>
  <w:style w:type="paragraph" w:styleId="Textedebulles">
    <w:name w:val="Balloon Text"/>
    <w:basedOn w:val="Normal"/>
    <w:link w:val="TextedebullesCar"/>
    <w:uiPriority w:val="99"/>
    <w:semiHidden/>
    <w:unhideWhenUsed/>
    <w:rsid w:val="004371CA"/>
    <w:rPr>
      <w:rFonts w:ascii="Tahoma" w:hAnsi="Tahoma" w:cs="Tahoma"/>
      <w:sz w:val="16"/>
      <w:szCs w:val="16"/>
    </w:rPr>
  </w:style>
  <w:style w:type="character" w:customStyle="1" w:styleId="TextedebullesCar">
    <w:name w:val="Texte de bulles Car"/>
    <w:basedOn w:val="Policepardfaut"/>
    <w:link w:val="Textedebulles"/>
    <w:uiPriority w:val="99"/>
    <w:semiHidden/>
    <w:rsid w:val="004371CA"/>
    <w:rPr>
      <w:rFonts w:ascii="Tahoma" w:hAnsi="Tahoma" w:cs="Tahoma"/>
      <w:sz w:val="16"/>
      <w:szCs w:val="16"/>
    </w:rPr>
  </w:style>
  <w:style w:type="table" w:styleId="Grilledutableau">
    <w:name w:val="Table Grid"/>
    <w:basedOn w:val="TableauNormal"/>
    <w:uiPriority w:val="59"/>
    <w:rsid w:val="00437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71CA"/>
    <w:pPr>
      <w:spacing w:after="200" w:line="276"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F944A3"/>
    <w:rPr>
      <w:color w:val="0000FF" w:themeColor="hyperlink"/>
      <w:u w:val="single"/>
    </w:rPr>
  </w:style>
  <w:style w:type="character" w:styleId="Lienhypertextesuivivisit">
    <w:name w:val="FollowedHyperlink"/>
    <w:basedOn w:val="Policepardfaut"/>
    <w:uiPriority w:val="99"/>
    <w:semiHidden/>
    <w:unhideWhenUsed/>
    <w:rsid w:val="00CD4D85"/>
    <w:rPr>
      <w:color w:val="800080" w:themeColor="followedHyperlink"/>
      <w:u w:val="single"/>
    </w:rPr>
  </w:style>
  <w:style w:type="paragraph" w:styleId="Textebrut">
    <w:name w:val="Plain Text"/>
    <w:basedOn w:val="Normal"/>
    <w:link w:val="TextebrutCar"/>
    <w:uiPriority w:val="99"/>
    <w:unhideWhenUsed/>
    <w:rsid w:val="00B40E71"/>
    <w:rPr>
      <w:rFonts w:ascii="Consolas" w:eastAsiaTheme="minorHAnsi" w:hAnsi="Consolas" w:cstheme="minorBidi"/>
      <w:sz w:val="21"/>
      <w:szCs w:val="21"/>
      <w:lang w:eastAsia="en-US"/>
    </w:rPr>
  </w:style>
  <w:style w:type="character" w:customStyle="1" w:styleId="TextebrutCar">
    <w:name w:val="Texte brut Car"/>
    <w:basedOn w:val="Policepardfaut"/>
    <w:link w:val="Textebrut"/>
    <w:uiPriority w:val="99"/>
    <w:rsid w:val="00B40E7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88473">
      <w:bodyDiv w:val="1"/>
      <w:marLeft w:val="0"/>
      <w:marRight w:val="0"/>
      <w:marTop w:val="0"/>
      <w:marBottom w:val="0"/>
      <w:divBdr>
        <w:top w:val="none" w:sz="0" w:space="0" w:color="auto"/>
        <w:left w:val="none" w:sz="0" w:space="0" w:color="auto"/>
        <w:bottom w:val="none" w:sz="0" w:space="0" w:color="auto"/>
        <w:right w:val="none" w:sz="0" w:space="0" w:color="auto"/>
      </w:divBdr>
    </w:div>
    <w:div w:id="1009792505">
      <w:bodyDiv w:val="1"/>
      <w:marLeft w:val="0"/>
      <w:marRight w:val="0"/>
      <w:marTop w:val="0"/>
      <w:marBottom w:val="0"/>
      <w:divBdr>
        <w:top w:val="none" w:sz="0" w:space="0" w:color="auto"/>
        <w:left w:val="none" w:sz="0" w:space="0" w:color="auto"/>
        <w:bottom w:val="none" w:sz="0" w:space="0" w:color="auto"/>
        <w:right w:val="none" w:sz="0" w:space="0" w:color="auto"/>
      </w:divBdr>
      <w:divsChild>
        <w:div w:id="1114860460">
          <w:marLeft w:val="0"/>
          <w:marRight w:val="0"/>
          <w:marTop w:val="0"/>
          <w:marBottom w:val="0"/>
          <w:divBdr>
            <w:top w:val="none" w:sz="0" w:space="0" w:color="auto"/>
            <w:left w:val="none" w:sz="0" w:space="0" w:color="auto"/>
            <w:bottom w:val="none" w:sz="0" w:space="0" w:color="auto"/>
            <w:right w:val="none" w:sz="0" w:space="0" w:color="auto"/>
          </w:divBdr>
          <w:divsChild>
            <w:div w:id="939096097">
              <w:marLeft w:val="0"/>
              <w:marRight w:val="0"/>
              <w:marTop w:val="0"/>
              <w:marBottom w:val="0"/>
              <w:divBdr>
                <w:top w:val="none" w:sz="0" w:space="0" w:color="auto"/>
                <w:left w:val="none" w:sz="0" w:space="0" w:color="auto"/>
                <w:bottom w:val="none" w:sz="0" w:space="0" w:color="auto"/>
                <w:right w:val="none" w:sz="0" w:space="0" w:color="auto"/>
              </w:divBdr>
              <w:divsChild>
                <w:div w:id="450708246">
                  <w:marLeft w:val="0"/>
                  <w:marRight w:val="0"/>
                  <w:marTop w:val="0"/>
                  <w:marBottom w:val="0"/>
                  <w:divBdr>
                    <w:top w:val="none" w:sz="0" w:space="0" w:color="auto"/>
                    <w:left w:val="none" w:sz="0" w:space="0" w:color="auto"/>
                    <w:bottom w:val="none" w:sz="0" w:space="0" w:color="auto"/>
                    <w:right w:val="none" w:sz="0" w:space="0" w:color="auto"/>
                  </w:divBdr>
                  <w:divsChild>
                    <w:div w:id="1887447083">
                      <w:marLeft w:val="0"/>
                      <w:marRight w:val="0"/>
                      <w:marTop w:val="0"/>
                      <w:marBottom w:val="0"/>
                      <w:divBdr>
                        <w:top w:val="none" w:sz="0" w:space="0" w:color="auto"/>
                        <w:left w:val="none" w:sz="0" w:space="0" w:color="auto"/>
                        <w:bottom w:val="none" w:sz="0" w:space="0" w:color="auto"/>
                        <w:right w:val="none" w:sz="0" w:space="0" w:color="auto"/>
                      </w:divBdr>
                      <w:divsChild>
                        <w:div w:id="12195978">
                          <w:marLeft w:val="0"/>
                          <w:marRight w:val="0"/>
                          <w:marTop w:val="0"/>
                          <w:marBottom w:val="0"/>
                          <w:divBdr>
                            <w:top w:val="none" w:sz="0" w:space="0" w:color="auto"/>
                            <w:left w:val="none" w:sz="0" w:space="0" w:color="auto"/>
                            <w:bottom w:val="none" w:sz="0" w:space="0" w:color="auto"/>
                            <w:right w:val="none" w:sz="0" w:space="0" w:color="auto"/>
                          </w:divBdr>
                          <w:divsChild>
                            <w:div w:id="112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071250">
      <w:bodyDiv w:val="1"/>
      <w:marLeft w:val="0"/>
      <w:marRight w:val="0"/>
      <w:marTop w:val="0"/>
      <w:marBottom w:val="0"/>
      <w:divBdr>
        <w:top w:val="none" w:sz="0" w:space="0" w:color="auto"/>
        <w:left w:val="none" w:sz="0" w:space="0" w:color="auto"/>
        <w:bottom w:val="none" w:sz="0" w:space="0" w:color="auto"/>
        <w:right w:val="none" w:sz="0" w:space="0" w:color="auto"/>
      </w:divBdr>
    </w:div>
    <w:div w:id="122771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aine.direction@hopital-sancerr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armacie@hopital-sancerre.f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828E9-6377-4DE1-9071-A2AB2F46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1336</Words>
  <Characters>7354</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PHARMACIE</dc:creator>
  <cp:keywords/>
  <dc:description/>
  <cp:lastModifiedBy>PHARMACIE</cp:lastModifiedBy>
  <cp:revision>2</cp:revision>
  <cp:lastPrinted>2014-04-02T07:46:00Z</cp:lastPrinted>
  <dcterms:created xsi:type="dcterms:W3CDTF">2016-06-08T13:02:00Z</dcterms:created>
  <dcterms:modified xsi:type="dcterms:W3CDTF">2016-06-08T13:02:00Z</dcterms:modified>
</cp:coreProperties>
</file>