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F31" w:rsidRDefault="005C2F31">
      <w:r w:rsidRPr="005C2F31">
        <w:rPr>
          <w:b/>
        </w:rPr>
        <w:t xml:space="preserve">Bactériurie asymptomatique : </w:t>
      </w:r>
      <w:r>
        <w:t>pas de traitement antibiotique sauf grossesse ou intervention urologique</w:t>
      </w:r>
      <w:r w:rsidR="001716C5"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2F31" w:rsidRPr="005C2F31" w:rsidTr="005C2F31">
        <w:tc>
          <w:tcPr>
            <w:tcW w:w="9062" w:type="dxa"/>
          </w:tcPr>
          <w:p w:rsidR="005C2F31" w:rsidRPr="00AF5635" w:rsidRDefault="005C2F31" w:rsidP="00F4262B">
            <w:pPr>
              <w:jc w:val="center"/>
              <w:rPr>
                <w:b/>
              </w:rPr>
            </w:pPr>
            <w:r w:rsidRPr="00AF5635">
              <w:rPr>
                <w:b/>
              </w:rPr>
              <w:t>CYSTITES</w:t>
            </w:r>
          </w:p>
        </w:tc>
      </w:tr>
    </w:tbl>
    <w:p w:rsidR="00212E0C" w:rsidRPr="00212E0C" w:rsidRDefault="00212E0C" w:rsidP="00212E0C"/>
    <w:p w:rsidR="005C2F31" w:rsidRDefault="005C2F31" w:rsidP="005C2F31">
      <w:pPr>
        <w:pStyle w:val="Paragraphedeliste"/>
        <w:numPr>
          <w:ilvl w:val="0"/>
          <w:numId w:val="1"/>
        </w:numPr>
      </w:pPr>
      <w:r>
        <w:rPr>
          <w:b/>
        </w:rPr>
        <w:t xml:space="preserve">Cystite aiguë simple : </w:t>
      </w:r>
      <w:r>
        <w:t>par ordre de préférence (à respecter)</w:t>
      </w:r>
    </w:p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2408"/>
        <w:gridCol w:w="2266"/>
        <w:gridCol w:w="2266"/>
      </w:tblGrid>
      <w:tr w:rsidR="005C2F31" w:rsidTr="009D69ED">
        <w:tc>
          <w:tcPr>
            <w:tcW w:w="1701" w:type="dxa"/>
          </w:tcPr>
          <w:p w:rsidR="005C2F31" w:rsidRDefault="00BE6F85" w:rsidP="005C2F31">
            <w:r>
              <w:t>1ère intention</w:t>
            </w:r>
          </w:p>
        </w:tc>
        <w:tc>
          <w:tcPr>
            <w:tcW w:w="2408" w:type="dxa"/>
          </w:tcPr>
          <w:p w:rsidR="005C2F31" w:rsidRDefault="00BE6F85" w:rsidP="005C2F31">
            <w:proofErr w:type="spellStart"/>
            <w:r>
              <w:t>Monuril</w:t>
            </w:r>
            <w:proofErr w:type="spellEnd"/>
            <w:r>
              <w:t xml:space="preserve"> (</w:t>
            </w:r>
            <w:proofErr w:type="spellStart"/>
            <w:r>
              <w:t>fosfomycine</w:t>
            </w:r>
            <w:proofErr w:type="spellEnd"/>
            <w:r>
              <w:t>)</w:t>
            </w:r>
          </w:p>
        </w:tc>
        <w:tc>
          <w:tcPr>
            <w:tcW w:w="2266" w:type="dxa"/>
          </w:tcPr>
          <w:p w:rsidR="005C2F31" w:rsidRDefault="00BE6F85" w:rsidP="005C2F31">
            <w:r>
              <w:t>3g par sachet</w:t>
            </w:r>
          </w:p>
        </w:tc>
        <w:tc>
          <w:tcPr>
            <w:tcW w:w="2266" w:type="dxa"/>
          </w:tcPr>
          <w:p w:rsidR="005C2F31" w:rsidRDefault="00BE6F85" w:rsidP="005C2F31">
            <w:r>
              <w:t>Prise unique</w:t>
            </w:r>
          </w:p>
        </w:tc>
      </w:tr>
      <w:tr w:rsidR="005C2F31" w:rsidTr="009D69ED">
        <w:tc>
          <w:tcPr>
            <w:tcW w:w="1701" w:type="dxa"/>
          </w:tcPr>
          <w:p w:rsidR="005C2F31" w:rsidRDefault="00BE6F85" w:rsidP="005C2F31">
            <w:r>
              <w:t>2ème intention</w:t>
            </w:r>
          </w:p>
        </w:tc>
        <w:tc>
          <w:tcPr>
            <w:tcW w:w="2408" w:type="dxa"/>
          </w:tcPr>
          <w:p w:rsidR="005C2F31" w:rsidRDefault="00BE6F85" w:rsidP="005C2F31">
            <w:proofErr w:type="spellStart"/>
            <w:r>
              <w:t>Selexid</w:t>
            </w:r>
            <w:proofErr w:type="spellEnd"/>
            <w:r>
              <w:t xml:space="preserve"> (</w:t>
            </w:r>
            <w:proofErr w:type="spellStart"/>
            <w:r>
              <w:t>pivmécillinam</w:t>
            </w:r>
            <w:proofErr w:type="spellEnd"/>
            <w:r>
              <w:t>)</w:t>
            </w:r>
          </w:p>
        </w:tc>
        <w:tc>
          <w:tcPr>
            <w:tcW w:w="2266" w:type="dxa"/>
          </w:tcPr>
          <w:p w:rsidR="005C2F31" w:rsidRDefault="00BE6F85" w:rsidP="005C2F31">
            <w:r>
              <w:t>400mg x 2/j</w:t>
            </w:r>
          </w:p>
        </w:tc>
        <w:tc>
          <w:tcPr>
            <w:tcW w:w="2266" w:type="dxa"/>
          </w:tcPr>
          <w:p w:rsidR="005C2F31" w:rsidRDefault="00BE6F85" w:rsidP="005C2F31">
            <w:r>
              <w:t>5 jours</w:t>
            </w:r>
          </w:p>
        </w:tc>
      </w:tr>
      <w:tr w:rsidR="00BE6F85" w:rsidTr="009D69ED">
        <w:tc>
          <w:tcPr>
            <w:tcW w:w="1701" w:type="dxa"/>
          </w:tcPr>
          <w:p w:rsidR="00BE6F85" w:rsidRDefault="00BE6F85" w:rsidP="005C2F31">
            <w:r>
              <w:t>3ème intention</w:t>
            </w:r>
          </w:p>
        </w:tc>
        <w:tc>
          <w:tcPr>
            <w:tcW w:w="6940" w:type="dxa"/>
            <w:gridSpan w:val="3"/>
          </w:tcPr>
          <w:p w:rsidR="00BE6F85" w:rsidRDefault="00BE6F85" w:rsidP="005C2F31">
            <w:r>
              <w:t>ECBU et suivre les choix proposés pour les cystites à risque de complication</w:t>
            </w:r>
          </w:p>
        </w:tc>
      </w:tr>
    </w:tbl>
    <w:p w:rsidR="00212E0C" w:rsidRPr="00212E0C" w:rsidRDefault="00212E0C" w:rsidP="00212E0C">
      <w:pPr>
        <w:pStyle w:val="Paragraphedeliste"/>
      </w:pPr>
    </w:p>
    <w:p w:rsidR="005C2F31" w:rsidRPr="00BE6F85" w:rsidRDefault="00BE6F85" w:rsidP="00BE6F85">
      <w:pPr>
        <w:pStyle w:val="Paragraphedeliste"/>
        <w:numPr>
          <w:ilvl w:val="0"/>
          <w:numId w:val="1"/>
        </w:numPr>
      </w:pPr>
      <w:r>
        <w:rPr>
          <w:b/>
        </w:rPr>
        <w:t xml:space="preserve">Cystite aiguë à risque de complication ** : </w:t>
      </w:r>
      <w:r>
        <w:t xml:space="preserve">ECBU et </w:t>
      </w:r>
      <w:r>
        <w:rPr>
          <w:b/>
        </w:rPr>
        <w:t>attendre l’antibiogramme pour avoir le spectre le plus étroit possible dans l’ordre ci-dessous</w:t>
      </w:r>
      <w:r w:rsidR="00F3352A">
        <w:rPr>
          <w:b/>
        </w:rPr>
        <w:t> :</w:t>
      </w:r>
    </w:p>
    <w:tbl>
      <w:tblPr>
        <w:tblStyle w:val="Grilledutableau"/>
        <w:tblW w:w="8701" w:type="dxa"/>
        <w:tblInd w:w="360" w:type="dxa"/>
        <w:tblLook w:val="04A0" w:firstRow="1" w:lastRow="0" w:firstColumn="1" w:lastColumn="0" w:noHBand="0" w:noVBand="1"/>
      </w:tblPr>
      <w:tblGrid>
        <w:gridCol w:w="1762"/>
        <w:gridCol w:w="2588"/>
        <w:gridCol w:w="2175"/>
        <w:gridCol w:w="2176"/>
      </w:tblGrid>
      <w:tr w:rsidR="00F1746D" w:rsidTr="00F1746D">
        <w:tc>
          <w:tcPr>
            <w:tcW w:w="1762" w:type="dxa"/>
          </w:tcPr>
          <w:p w:rsidR="00F1746D" w:rsidRDefault="00F1746D" w:rsidP="009D69ED">
            <w:r>
              <w:t>1ère intention</w:t>
            </w:r>
          </w:p>
        </w:tc>
        <w:tc>
          <w:tcPr>
            <w:tcW w:w="2588" w:type="dxa"/>
          </w:tcPr>
          <w:p w:rsidR="00F1746D" w:rsidRDefault="00556324" w:rsidP="009D69ED">
            <w:proofErr w:type="spellStart"/>
            <w:r>
              <w:t>Clamoxyl</w:t>
            </w:r>
            <w:proofErr w:type="spellEnd"/>
          </w:p>
        </w:tc>
        <w:tc>
          <w:tcPr>
            <w:tcW w:w="2175" w:type="dxa"/>
          </w:tcPr>
          <w:p w:rsidR="00F1746D" w:rsidRDefault="00556324" w:rsidP="009D69ED">
            <w:r>
              <w:t>1g x 3</w:t>
            </w:r>
          </w:p>
        </w:tc>
        <w:tc>
          <w:tcPr>
            <w:tcW w:w="2176" w:type="dxa"/>
          </w:tcPr>
          <w:p w:rsidR="00F1746D" w:rsidRDefault="00556324" w:rsidP="009D69ED">
            <w:r>
              <w:t>7 jours</w:t>
            </w:r>
          </w:p>
        </w:tc>
      </w:tr>
      <w:tr w:rsidR="00F1746D" w:rsidTr="00F1746D">
        <w:tc>
          <w:tcPr>
            <w:tcW w:w="1762" w:type="dxa"/>
          </w:tcPr>
          <w:p w:rsidR="00F1746D" w:rsidRDefault="00F1746D" w:rsidP="009D69ED">
            <w:r>
              <w:t>2ème intention</w:t>
            </w:r>
          </w:p>
        </w:tc>
        <w:tc>
          <w:tcPr>
            <w:tcW w:w="2588" w:type="dxa"/>
          </w:tcPr>
          <w:p w:rsidR="00F1746D" w:rsidRDefault="00556324" w:rsidP="009D69ED">
            <w:proofErr w:type="spellStart"/>
            <w:r>
              <w:t>Selexid</w:t>
            </w:r>
            <w:proofErr w:type="spellEnd"/>
          </w:p>
        </w:tc>
        <w:tc>
          <w:tcPr>
            <w:tcW w:w="2175" w:type="dxa"/>
          </w:tcPr>
          <w:p w:rsidR="00F1746D" w:rsidRDefault="00556324" w:rsidP="009D69ED">
            <w:r>
              <w:t>400mg x 2</w:t>
            </w:r>
          </w:p>
        </w:tc>
        <w:tc>
          <w:tcPr>
            <w:tcW w:w="2176" w:type="dxa"/>
          </w:tcPr>
          <w:p w:rsidR="00F1746D" w:rsidRDefault="00556324" w:rsidP="009D69ED">
            <w:r>
              <w:t>7 jours</w:t>
            </w:r>
          </w:p>
        </w:tc>
      </w:tr>
      <w:tr w:rsidR="00F1746D" w:rsidTr="00F1746D">
        <w:tc>
          <w:tcPr>
            <w:tcW w:w="1762" w:type="dxa"/>
          </w:tcPr>
          <w:p w:rsidR="00F1746D" w:rsidRDefault="00F1746D" w:rsidP="009D69ED">
            <w:r>
              <w:t>3ème intention</w:t>
            </w:r>
          </w:p>
        </w:tc>
        <w:tc>
          <w:tcPr>
            <w:tcW w:w="2588" w:type="dxa"/>
          </w:tcPr>
          <w:p w:rsidR="00F1746D" w:rsidRDefault="00556324" w:rsidP="009D69ED">
            <w:proofErr w:type="spellStart"/>
            <w:r>
              <w:t>Furandantine</w:t>
            </w:r>
            <w:proofErr w:type="spellEnd"/>
            <w:r w:rsidR="00F4262B">
              <w:t>*</w:t>
            </w:r>
          </w:p>
        </w:tc>
        <w:tc>
          <w:tcPr>
            <w:tcW w:w="2175" w:type="dxa"/>
          </w:tcPr>
          <w:p w:rsidR="00F1746D" w:rsidRDefault="00556324" w:rsidP="009D69ED">
            <w:r>
              <w:t>100mg x 3</w:t>
            </w:r>
          </w:p>
        </w:tc>
        <w:tc>
          <w:tcPr>
            <w:tcW w:w="2176" w:type="dxa"/>
          </w:tcPr>
          <w:p w:rsidR="00F1746D" w:rsidRDefault="00556324" w:rsidP="009D69ED">
            <w:r>
              <w:t>7 jours</w:t>
            </w:r>
          </w:p>
        </w:tc>
      </w:tr>
      <w:tr w:rsidR="00F1746D" w:rsidTr="00F1746D">
        <w:tc>
          <w:tcPr>
            <w:tcW w:w="1762" w:type="dxa"/>
          </w:tcPr>
          <w:p w:rsidR="00F1746D" w:rsidRDefault="00F1746D" w:rsidP="009D69ED">
            <w:r>
              <w:t>4ème intention</w:t>
            </w:r>
          </w:p>
        </w:tc>
        <w:tc>
          <w:tcPr>
            <w:tcW w:w="2588" w:type="dxa"/>
          </w:tcPr>
          <w:p w:rsidR="00F1746D" w:rsidRDefault="00556324" w:rsidP="009D69ED">
            <w:proofErr w:type="spellStart"/>
            <w:r>
              <w:t>Monuril</w:t>
            </w:r>
            <w:proofErr w:type="spellEnd"/>
          </w:p>
        </w:tc>
        <w:tc>
          <w:tcPr>
            <w:tcW w:w="2175" w:type="dxa"/>
          </w:tcPr>
          <w:p w:rsidR="00F1746D" w:rsidRDefault="00556324" w:rsidP="009D69ED">
            <w:r>
              <w:t>1 dose par 48h</w:t>
            </w:r>
          </w:p>
        </w:tc>
        <w:tc>
          <w:tcPr>
            <w:tcW w:w="2176" w:type="dxa"/>
          </w:tcPr>
          <w:p w:rsidR="00F1746D" w:rsidRDefault="00556324" w:rsidP="009D69ED">
            <w:r>
              <w:t>3 doses J1 J3 J5</w:t>
            </w:r>
          </w:p>
        </w:tc>
      </w:tr>
      <w:tr w:rsidR="00556324" w:rsidTr="00556324">
        <w:tc>
          <w:tcPr>
            <w:tcW w:w="1762" w:type="dxa"/>
          </w:tcPr>
          <w:p w:rsidR="00556324" w:rsidRDefault="00556324" w:rsidP="009D69ED">
            <w:r>
              <w:t>5ème intention</w:t>
            </w:r>
          </w:p>
        </w:tc>
        <w:tc>
          <w:tcPr>
            <w:tcW w:w="2588" w:type="dxa"/>
          </w:tcPr>
          <w:p w:rsidR="00556324" w:rsidRDefault="00FC1DF7" w:rsidP="009D69ED">
            <w:proofErr w:type="spellStart"/>
            <w:r>
              <w:t>Bactrim</w:t>
            </w:r>
            <w:proofErr w:type="spellEnd"/>
            <w:r>
              <w:t xml:space="preserve"> </w:t>
            </w:r>
          </w:p>
        </w:tc>
        <w:tc>
          <w:tcPr>
            <w:tcW w:w="2175" w:type="dxa"/>
          </w:tcPr>
          <w:p w:rsidR="00556324" w:rsidRDefault="00FC1DF7" w:rsidP="009D69ED">
            <w:r>
              <w:t xml:space="preserve">1 </w:t>
            </w:r>
            <w:proofErr w:type="spellStart"/>
            <w:r>
              <w:t>cp</w:t>
            </w:r>
            <w:proofErr w:type="spellEnd"/>
            <w:r>
              <w:t xml:space="preserve"> x 2</w:t>
            </w:r>
          </w:p>
        </w:tc>
        <w:tc>
          <w:tcPr>
            <w:tcW w:w="2176" w:type="dxa"/>
          </w:tcPr>
          <w:p w:rsidR="00556324" w:rsidRDefault="00FC1DF7" w:rsidP="009D69ED">
            <w:r>
              <w:t>5 jours</w:t>
            </w:r>
          </w:p>
        </w:tc>
      </w:tr>
    </w:tbl>
    <w:p w:rsidR="00BE6F85" w:rsidRDefault="00BE6F85" w:rsidP="00F4262B"/>
    <w:p w:rsidR="00F4262B" w:rsidRDefault="00EC27F7" w:rsidP="00E243DE">
      <w:pPr>
        <w:ind w:firstLine="708"/>
      </w:pPr>
      <w:r>
        <w:t xml:space="preserve">Les </w:t>
      </w:r>
      <w:proofErr w:type="spellStart"/>
      <w:r>
        <w:t>fluoroquinolones</w:t>
      </w:r>
      <w:proofErr w:type="spellEnd"/>
      <w:r>
        <w:t xml:space="preserve"> et le </w:t>
      </w:r>
      <w:proofErr w:type="spellStart"/>
      <w:r>
        <w:t>C</w:t>
      </w:r>
      <w:r w:rsidR="00F4262B">
        <w:t>efixime</w:t>
      </w:r>
      <w:proofErr w:type="spellEnd"/>
      <w:r w:rsidR="00F4262B">
        <w:t xml:space="preserve"> ne sont plus recommandés dans cette indication.</w:t>
      </w:r>
    </w:p>
    <w:p w:rsidR="00F4262B" w:rsidRDefault="00F4262B" w:rsidP="00E243DE">
      <w:pPr>
        <w:ind w:firstLine="708"/>
      </w:pPr>
      <w:r>
        <w:t>Si impossible de différer</w:t>
      </w:r>
      <w:r w:rsidR="00EC27F7">
        <w:t xml:space="preserve"> le traitement, dans l’ordre : </w:t>
      </w:r>
      <w:proofErr w:type="spellStart"/>
      <w:r w:rsidR="00EC27F7">
        <w:t>Furandantine</w:t>
      </w:r>
      <w:proofErr w:type="spellEnd"/>
      <w:r w:rsidR="00EC27F7">
        <w:t xml:space="preserve">* ou </w:t>
      </w:r>
      <w:proofErr w:type="spellStart"/>
      <w:r w:rsidR="00EC27F7">
        <w:t>F</w:t>
      </w:r>
      <w:r>
        <w:t>osfomycine</w:t>
      </w:r>
      <w:proofErr w:type="spellEnd"/>
      <w:r>
        <w:t xml:space="preserve"> en 3 doses J1 J3 J5.</w:t>
      </w:r>
    </w:p>
    <w:p w:rsidR="00F4262B" w:rsidRDefault="00F4262B" w:rsidP="00D5470D">
      <w:pPr>
        <w:spacing w:after="0"/>
        <w:ind w:firstLine="708"/>
      </w:pPr>
      <w:r>
        <w:t>*</w:t>
      </w:r>
      <w:proofErr w:type="spellStart"/>
      <w:r>
        <w:t>furandantine</w:t>
      </w:r>
      <w:proofErr w:type="spellEnd"/>
      <w:r>
        <w:t xml:space="preserve"> contre indiquée si Cl &lt; à 40 mg/ml</w:t>
      </w:r>
    </w:p>
    <w:p w:rsidR="00F4262B" w:rsidRDefault="00F4262B" w:rsidP="00D5470D">
      <w:pPr>
        <w:spacing w:after="0"/>
        <w:ind w:left="708"/>
      </w:pPr>
      <w:r>
        <w:t>**</w:t>
      </w:r>
      <w:proofErr w:type="spellStart"/>
      <w:r w:rsidRPr="00CA3D8B">
        <w:rPr>
          <w:u w:val="single"/>
        </w:rPr>
        <w:t>FdR</w:t>
      </w:r>
      <w:proofErr w:type="spellEnd"/>
      <w:r w:rsidRPr="00CA3D8B">
        <w:rPr>
          <w:u w:val="single"/>
        </w:rPr>
        <w:t xml:space="preserve"> de complication</w:t>
      </w:r>
      <w:r>
        <w:t xml:space="preserve"> : homme, grossesse, âge (patient de plus de 65ans avec &gt; 3 critères de fragilité ou patient de plus de </w:t>
      </w:r>
      <w:r w:rsidR="0081452E">
        <w:t>75ans)</w:t>
      </w:r>
      <w:r>
        <w:t xml:space="preserve">, anomalie organique ou fonctionnelle de l’arbre urinaire, immunodépression grave, </w:t>
      </w:r>
      <w:r w:rsidR="00732A7F">
        <w:t>insuffisance rénale chronique sévère (clairance &lt;30 ml/min).</w:t>
      </w:r>
    </w:p>
    <w:p w:rsidR="00732A7F" w:rsidRDefault="00732A7F" w:rsidP="00D5470D">
      <w:pPr>
        <w:spacing w:after="0"/>
      </w:pPr>
    </w:p>
    <w:p w:rsidR="00CA3D8B" w:rsidRDefault="00302535" w:rsidP="00BE2ADC">
      <w:pPr>
        <w:pStyle w:val="Paragraphedeliste"/>
        <w:numPr>
          <w:ilvl w:val="0"/>
          <w:numId w:val="1"/>
        </w:numPr>
      </w:pPr>
      <w:r>
        <w:rPr>
          <w:b/>
        </w:rPr>
        <w:t xml:space="preserve">Cystite aiguë récidivante </w:t>
      </w:r>
      <w:r>
        <w:t xml:space="preserve">(4 épisodes sur 12mois) sans FDR de complications (avis spécialisé sinon) : ECBU et traitement identique à une cystite </w:t>
      </w:r>
      <w:proofErr w:type="spellStart"/>
      <w:r>
        <w:t>simple.</w:t>
      </w:r>
      <w:r w:rsidR="00EC27F7">
        <w:t>Si</w:t>
      </w:r>
      <w:proofErr w:type="spellEnd"/>
      <w:r w:rsidR="00EC27F7">
        <w:t xml:space="preserve"> cystite </w:t>
      </w:r>
      <w:proofErr w:type="spellStart"/>
      <w:r w:rsidR="00EC27F7">
        <w:t>posy-coïtale,TT</w:t>
      </w:r>
      <w:proofErr w:type="spellEnd"/>
      <w:r w:rsidR="00EC27F7">
        <w:t xml:space="preserve"> avant/ou après rapport.</w:t>
      </w:r>
    </w:p>
    <w:p w:rsidR="00BE2ADC" w:rsidRDefault="00302535" w:rsidP="00CA3D8B">
      <w:pPr>
        <w:pStyle w:val="Paragraphedeliste"/>
      </w:pPr>
      <w:r>
        <w:t xml:space="preserve"> Antibioprophylaxie uniquement si au moins un épisode par mois en cas d’échec des autres mesures </w:t>
      </w:r>
      <w:r w:rsidR="00EC27F7">
        <w:t>(</w:t>
      </w:r>
      <w:proofErr w:type="spellStart"/>
      <w:r w:rsidR="00EC27F7">
        <w:t>Bactrim</w:t>
      </w:r>
      <w:proofErr w:type="spellEnd"/>
      <w:r w:rsidR="00EC27F7">
        <w:t xml:space="preserve"> 1cp/j ou </w:t>
      </w:r>
      <w:proofErr w:type="spellStart"/>
      <w:r w:rsidR="00EC27F7">
        <w:t>M</w:t>
      </w:r>
      <w:r w:rsidR="00BE2ADC">
        <w:t>onuril</w:t>
      </w:r>
      <w:proofErr w:type="spellEnd"/>
      <w:r w:rsidR="00BE2ADC">
        <w:t xml:space="preserve"> 1sachet/semaine).</w:t>
      </w:r>
    </w:p>
    <w:p w:rsidR="00787A18" w:rsidRDefault="00787A18" w:rsidP="00787A18">
      <w:pPr>
        <w:pStyle w:val="Paragraphedeliste"/>
      </w:pPr>
      <w:r>
        <w:t>Une a</w:t>
      </w:r>
      <w:r w:rsidRPr="00787A18">
        <w:t xml:space="preserve">ntibioprophylaxie au </w:t>
      </w:r>
      <w:r>
        <w:t>long cours est à éviter au maximum (risque de résistance, toxicité, récidive à l’arrêt).</w:t>
      </w:r>
    </w:p>
    <w:p w:rsidR="00787A18" w:rsidRDefault="00EC27F7" w:rsidP="00787A18">
      <w:pPr>
        <w:pStyle w:val="Paragraphedeliste"/>
      </w:pPr>
      <w:r>
        <w:t xml:space="preserve">La </w:t>
      </w:r>
      <w:proofErr w:type="spellStart"/>
      <w:r>
        <w:t>N</w:t>
      </w:r>
      <w:r w:rsidR="00787A18">
        <w:t>itrofurantoïne</w:t>
      </w:r>
      <w:proofErr w:type="spellEnd"/>
      <w:r w:rsidR="00787A18">
        <w:t xml:space="preserve"> est contre-indiquée au long cours et non recommandée en administrations répétées.</w:t>
      </w:r>
    </w:p>
    <w:p w:rsidR="00787A18" w:rsidRDefault="007F03EE" w:rsidP="00787A18">
      <w:pPr>
        <w:pStyle w:val="Paragraphedeliste"/>
      </w:pPr>
      <w:r>
        <w:t xml:space="preserve">Bêta </w:t>
      </w:r>
      <w:proofErr w:type="spellStart"/>
      <w:r>
        <w:t>lactamines</w:t>
      </w:r>
      <w:proofErr w:type="spellEnd"/>
      <w:r>
        <w:t xml:space="preserve"> et </w:t>
      </w:r>
      <w:proofErr w:type="spellStart"/>
      <w:r>
        <w:t>fluoroquinolones</w:t>
      </w:r>
      <w:proofErr w:type="spellEnd"/>
      <w:r>
        <w:t xml:space="preserve"> ne sont pas recommandées.</w:t>
      </w:r>
    </w:p>
    <w:p w:rsidR="007F03EE" w:rsidRPr="00787A18" w:rsidRDefault="007F03EE" w:rsidP="00787A18">
      <w:pPr>
        <w:pStyle w:val="Paragraphedeliste"/>
      </w:pPr>
    </w:p>
    <w:p w:rsidR="00BE2ADC" w:rsidRDefault="00BE2ADC" w:rsidP="00BE2ADC">
      <w:pPr>
        <w:pStyle w:val="Paragraphedeliste"/>
        <w:numPr>
          <w:ilvl w:val="0"/>
          <w:numId w:val="1"/>
        </w:numPr>
      </w:pPr>
      <w:r>
        <w:rPr>
          <w:b/>
        </w:rPr>
        <w:t xml:space="preserve">Femme enceinte : </w:t>
      </w:r>
      <w:r w:rsidR="00FC2E20">
        <w:t xml:space="preserve">cystite aiguë et bactériurie asymptomatique : </w:t>
      </w:r>
      <w:r w:rsidR="00EC27F7">
        <w:t xml:space="preserve">en probabiliste </w:t>
      </w:r>
      <w:proofErr w:type="spellStart"/>
      <w:r w:rsidR="00EC27F7">
        <w:t>Fosfomycine</w:t>
      </w:r>
      <w:proofErr w:type="spellEnd"/>
      <w:r w:rsidR="00EC27F7">
        <w:t xml:space="preserve"> ou </w:t>
      </w:r>
      <w:proofErr w:type="spellStart"/>
      <w:r w:rsidR="00EC27F7">
        <w:t>P</w:t>
      </w:r>
      <w:r w:rsidR="00AA28A1">
        <w:t>ivmécillinam</w:t>
      </w:r>
      <w:proofErr w:type="spellEnd"/>
      <w:r w:rsidR="00AA28A1">
        <w:t>.</w:t>
      </w:r>
    </w:p>
    <w:p w:rsidR="00786594" w:rsidRPr="00786594" w:rsidRDefault="00786594" w:rsidP="00786594">
      <w:pPr>
        <w:pStyle w:val="Paragraphedeliste"/>
      </w:pPr>
    </w:p>
    <w:p w:rsidR="00AA28A1" w:rsidRDefault="00AA28A1" w:rsidP="00BE2ADC">
      <w:pPr>
        <w:pStyle w:val="Paragraphedeliste"/>
        <w:numPr>
          <w:ilvl w:val="0"/>
          <w:numId w:val="1"/>
        </w:numPr>
      </w:pPr>
      <w:r>
        <w:rPr>
          <w:b/>
        </w:rPr>
        <w:t>IU gravidiques :</w:t>
      </w:r>
      <w:r>
        <w:t xml:space="preserve"> colonisation chez la femme enceinte</w:t>
      </w:r>
    </w:p>
    <w:tbl>
      <w:tblPr>
        <w:tblStyle w:val="Grilledutableau"/>
        <w:tblW w:w="8701" w:type="dxa"/>
        <w:tblInd w:w="360" w:type="dxa"/>
        <w:tblLook w:val="04A0" w:firstRow="1" w:lastRow="0" w:firstColumn="1" w:lastColumn="0" w:noHBand="0" w:noVBand="1"/>
      </w:tblPr>
      <w:tblGrid>
        <w:gridCol w:w="1762"/>
        <w:gridCol w:w="2836"/>
        <w:gridCol w:w="2035"/>
        <w:gridCol w:w="2068"/>
      </w:tblGrid>
      <w:tr w:rsidR="001749ED" w:rsidTr="001A381D">
        <w:tc>
          <w:tcPr>
            <w:tcW w:w="1762" w:type="dxa"/>
          </w:tcPr>
          <w:p w:rsidR="001749ED" w:rsidRDefault="001749ED" w:rsidP="00AA28A1">
            <w:r>
              <w:t>1ère intention</w:t>
            </w:r>
          </w:p>
        </w:tc>
        <w:tc>
          <w:tcPr>
            <w:tcW w:w="2836" w:type="dxa"/>
          </w:tcPr>
          <w:p w:rsidR="001749ED" w:rsidRDefault="001A381D" w:rsidP="00AA28A1">
            <w:r>
              <w:t>Amoxicilline</w:t>
            </w:r>
          </w:p>
        </w:tc>
        <w:tc>
          <w:tcPr>
            <w:tcW w:w="2035" w:type="dxa"/>
          </w:tcPr>
          <w:p w:rsidR="001749ED" w:rsidRDefault="001749ED" w:rsidP="00AA28A1"/>
        </w:tc>
        <w:tc>
          <w:tcPr>
            <w:tcW w:w="2068" w:type="dxa"/>
          </w:tcPr>
          <w:p w:rsidR="001749ED" w:rsidRDefault="001749ED" w:rsidP="00AA28A1">
            <w:r>
              <w:t>7 jours</w:t>
            </w:r>
          </w:p>
        </w:tc>
      </w:tr>
      <w:tr w:rsidR="001749ED" w:rsidTr="001A381D">
        <w:tc>
          <w:tcPr>
            <w:tcW w:w="1762" w:type="dxa"/>
          </w:tcPr>
          <w:p w:rsidR="001749ED" w:rsidRDefault="001749ED" w:rsidP="00AA28A1">
            <w:r>
              <w:t>2ème intention</w:t>
            </w:r>
          </w:p>
        </w:tc>
        <w:tc>
          <w:tcPr>
            <w:tcW w:w="2836" w:type="dxa"/>
          </w:tcPr>
          <w:p w:rsidR="001749ED" w:rsidRDefault="001A381D" w:rsidP="00AA28A1">
            <w:proofErr w:type="spellStart"/>
            <w:r>
              <w:t>Pivmécillinam</w:t>
            </w:r>
            <w:proofErr w:type="spellEnd"/>
          </w:p>
        </w:tc>
        <w:tc>
          <w:tcPr>
            <w:tcW w:w="2035" w:type="dxa"/>
          </w:tcPr>
          <w:p w:rsidR="001749ED" w:rsidRDefault="001749ED" w:rsidP="00AA28A1"/>
        </w:tc>
        <w:tc>
          <w:tcPr>
            <w:tcW w:w="2068" w:type="dxa"/>
          </w:tcPr>
          <w:p w:rsidR="001749ED" w:rsidRDefault="001749ED" w:rsidP="00AA28A1">
            <w:r>
              <w:t>7 jours</w:t>
            </w:r>
          </w:p>
        </w:tc>
      </w:tr>
      <w:tr w:rsidR="001749ED" w:rsidTr="001A381D">
        <w:tc>
          <w:tcPr>
            <w:tcW w:w="1762" w:type="dxa"/>
          </w:tcPr>
          <w:p w:rsidR="001749ED" w:rsidRDefault="001749ED" w:rsidP="00AA28A1">
            <w:r>
              <w:t>3ème intention</w:t>
            </w:r>
          </w:p>
        </w:tc>
        <w:tc>
          <w:tcPr>
            <w:tcW w:w="2836" w:type="dxa"/>
          </w:tcPr>
          <w:p w:rsidR="001749ED" w:rsidRDefault="001A381D" w:rsidP="00AA28A1">
            <w:proofErr w:type="spellStart"/>
            <w:r>
              <w:t>Fosfomycine</w:t>
            </w:r>
            <w:proofErr w:type="spellEnd"/>
            <w:r>
              <w:t>/</w:t>
            </w:r>
            <w:proofErr w:type="spellStart"/>
            <w:r>
              <w:t>trométamol</w:t>
            </w:r>
            <w:proofErr w:type="spellEnd"/>
          </w:p>
        </w:tc>
        <w:tc>
          <w:tcPr>
            <w:tcW w:w="2035" w:type="dxa"/>
          </w:tcPr>
          <w:p w:rsidR="001749ED" w:rsidRDefault="001749ED" w:rsidP="00AA28A1"/>
        </w:tc>
        <w:tc>
          <w:tcPr>
            <w:tcW w:w="2068" w:type="dxa"/>
          </w:tcPr>
          <w:p w:rsidR="001749ED" w:rsidRDefault="001749ED" w:rsidP="00AA28A1">
            <w:r>
              <w:t>1 jour</w:t>
            </w:r>
          </w:p>
        </w:tc>
      </w:tr>
      <w:tr w:rsidR="001749ED" w:rsidTr="001A381D">
        <w:tc>
          <w:tcPr>
            <w:tcW w:w="1762" w:type="dxa"/>
          </w:tcPr>
          <w:p w:rsidR="001749ED" w:rsidRDefault="001749ED" w:rsidP="00AA28A1">
            <w:r>
              <w:t>4ème intention</w:t>
            </w:r>
          </w:p>
        </w:tc>
        <w:tc>
          <w:tcPr>
            <w:tcW w:w="2836" w:type="dxa"/>
          </w:tcPr>
          <w:p w:rsidR="001749ED" w:rsidRDefault="00415821" w:rsidP="00AA28A1">
            <w:r>
              <w:t xml:space="preserve">TMP (à éviter les 2 premiers </w:t>
            </w:r>
            <w:r w:rsidR="001A381D">
              <w:t>mois</w:t>
            </w:r>
          </w:p>
        </w:tc>
        <w:tc>
          <w:tcPr>
            <w:tcW w:w="2035" w:type="dxa"/>
          </w:tcPr>
          <w:p w:rsidR="001749ED" w:rsidRDefault="001749ED" w:rsidP="00AA28A1"/>
        </w:tc>
        <w:tc>
          <w:tcPr>
            <w:tcW w:w="2068" w:type="dxa"/>
          </w:tcPr>
          <w:p w:rsidR="001749ED" w:rsidRDefault="001749ED" w:rsidP="00AA28A1">
            <w:r>
              <w:t>7 jours</w:t>
            </w:r>
          </w:p>
        </w:tc>
      </w:tr>
      <w:tr w:rsidR="001749ED" w:rsidTr="001A381D">
        <w:tc>
          <w:tcPr>
            <w:tcW w:w="1762" w:type="dxa"/>
          </w:tcPr>
          <w:p w:rsidR="001749ED" w:rsidRDefault="001749ED" w:rsidP="00AA28A1">
            <w:r>
              <w:t>5ème intention</w:t>
            </w:r>
          </w:p>
        </w:tc>
        <w:tc>
          <w:tcPr>
            <w:tcW w:w="2836" w:type="dxa"/>
          </w:tcPr>
          <w:p w:rsidR="001749ED" w:rsidRDefault="001A381D" w:rsidP="00AA28A1">
            <w:proofErr w:type="spellStart"/>
            <w:r>
              <w:t>Nitrofurantoïne</w:t>
            </w:r>
            <w:proofErr w:type="spellEnd"/>
          </w:p>
          <w:p w:rsidR="001A381D" w:rsidRDefault="001A381D" w:rsidP="00AA28A1">
            <w:proofErr w:type="spellStart"/>
            <w:r>
              <w:t>Cotrimoxazole</w:t>
            </w:r>
            <w:proofErr w:type="spellEnd"/>
            <w:r w:rsidR="00415821">
              <w:t xml:space="preserve"> (SMX-TMP, à éviter les 2 premiers mois)</w:t>
            </w:r>
          </w:p>
          <w:p w:rsidR="001A381D" w:rsidRDefault="001A381D" w:rsidP="00AA28A1">
            <w:r>
              <w:lastRenderedPageBreak/>
              <w:t>Amoxicilline/acide clavul</w:t>
            </w:r>
            <w:r w:rsidR="00EC27F7">
              <w:t>an</w:t>
            </w:r>
            <w:r>
              <w:t>ique</w:t>
            </w:r>
          </w:p>
          <w:p w:rsidR="001A381D" w:rsidRDefault="00EC27F7" w:rsidP="00AA28A1">
            <w:proofErr w:type="spellStart"/>
            <w:r>
              <w:t>C</w:t>
            </w:r>
            <w:r w:rsidR="001A381D">
              <w:t>efixime</w:t>
            </w:r>
            <w:proofErr w:type="spellEnd"/>
            <w:r>
              <w:t xml:space="preserve"> ou Ciprofloxacine</w:t>
            </w:r>
          </w:p>
        </w:tc>
        <w:tc>
          <w:tcPr>
            <w:tcW w:w="2035" w:type="dxa"/>
          </w:tcPr>
          <w:p w:rsidR="001749ED" w:rsidRDefault="001749ED" w:rsidP="00AA28A1"/>
        </w:tc>
        <w:tc>
          <w:tcPr>
            <w:tcW w:w="2068" w:type="dxa"/>
          </w:tcPr>
          <w:p w:rsidR="001749ED" w:rsidRDefault="001749ED" w:rsidP="00AA28A1">
            <w:r>
              <w:t>7 jours</w:t>
            </w:r>
          </w:p>
        </w:tc>
      </w:tr>
    </w:tbl>
    <w:p w:rsidR="00AA28A1" w:rsidRDefault="00AA28A1" w:rsidP="00AA28A1">
      <w:pPr>
        <w:ind w:left="360"/>
      </w:pPr>
    </w:p>
    <w:p w:rsidR="003D7119" w:rsidRDefault="003D7119" w:rsidP="00AA28A1">
      <w:pPr>
        <w:ind w:left="360"/>
      </w:pPr>
    </w:p>
    <w:p w:rsidR="00AF5635" w:rsidRDefault="00AF5635" w:rsidP="00AF5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</w:rPr>
      </w:pPr>
      <w:r w:rsidRPr="00AF5635">
        <w:rPr>
          <w:b/>
        </w:rPr>
        <w:t>PYELONEPHRITE AIGUE (PNA)</w:t>
      </w:r>
    </w:p>
    <w:p w:rsidR="00AF5635" w:rsidRDefault="00271593" w:rsidP="00AF5635">
      <w:pPr>
        <w:pStyle w:val="Paragraphedeliste"/>
        <w:numPr>
          <w:ilvl w:val="0"/>
          <w:numId w:val="3"/>
        </w:numPr>
        <w:rPr>
          <w:b/>
        </w:rPr>
      </w:pPr>
      <w:r>
        <w:rPr>
          <w:b/>
        </w:rPr>
        <w:t>PNA sans signes de gravité :</w:t>
      </w:r>
    </w:p>
    <w:p w:rsidR="00271593" w:rsidRDefault="00271593" w:rsidP="00271593">
      <w:pPr>
        <w:pStyle w:val="Paragraphedeliste"/>
        <w:ind w:left="1080"/>
      </w:pPr>
      <w:r>
        <w:t>Traitement de 7</w:t>
      </w:r>
      <w:r w:rsidR="009A1421">
        <w:t xml:space="preserve"> </w:t>
      </w:r>
      <w:r>
        <w:t xml:space="preserve">j si </w:t>
      </w:r>
      <w:r w:rsidR="00F57941">
        <w:t>β</w:t>
      </w:r>
      <w:r>
        <w:t xml:space="preserve"> </w:t>
      </w:r>
      <w:proofErr w:type="spellStart"/>
      <w:r>
        <w:t>lactamine</w:t>
      </w:r>
      <w:r w:rsidR="009D1223">
        <w:t>s</w:t>
      </w:r>
      <w:proofErr w:type="spellEnd"/>
      <w:r>
        <w:t xml:space="preserve"> IV ou quinolone d’emblée ou en relais, 10</w:t>
      </w:r>
      <w:r w:rsidR="009A1421">
        <w:t xml:space="preserve"> </w:t>
      </w:r>
      <w:r>
        <w:t>j sinon.</w:t>
      </w:r>
    </w:p>
    <w:p w:rsidR="00AF5635" w:rsidRDefault="00271593" w:rsidP="00271593">
      <w:pPr>
        <w:pStyle w:val="Paragraphedeliste"/>
        <w:ind w:left="1080"/>
      </w:pPr>
      <w:r>
        <w:t xml:space="preserve">Traitement </w:t>
      </w:r>
      <w:r w:rsidR="0048675C">
        <w:t>probab</w:t>
      </w:r>
      <w:r>
        <w:t xml:space="preserve">iliste : </w:t>
      </w:r>
      <w:proofErr w:type="spellStart"/>
      <w:r>
        <w:t>fluoroquinolones</w:t>
      </w:r>
      <w:proofErr w:type="spellEnd"/>
      <w:r>
        <w:t xml:space="preserve"> (</w:t>
      </w:r>
      <w:proofErr w:type="spellStart"/>
      <w:r>
        <w:t>cipro</w:t>
      </w:r>
      <w:proofErr w:type="spellEnd"/>
      <w:r>
        <w:t>/</w:t>
      </w:r>
      <w:proofErr w:type="spellStart"/>
      <w:r>
        <w:t>levoflo</w:t>
      </w:r>
      <w:proofErr w:type="spellEnd"/>
      <w:r>
        <w:t xml:space="preserve">) sauf </w:t>
      </w:r>
      <w:r w:rsidR="009A1421">
        <w:t xml:space="preserve"> si </w:t>
      </w:r>
      <w:r>
        <w:t>prise dans les 6 mois précédents.</w:t>
      </w:r>
    </w:p>
    <w:p w:rsidR="002C6525" w:rsidRDefault="002C6525" w:rsidP="00271593">
      <w:pPr>
        <w:pStyle w:val="Paragraphedeliste"/>
        <w:ind w:left="1080"/>
      </w:pPr>
      <w:r>
        <w:t>C3G</w:t>
      </w:r>
      <w:r w:rsidR="007611AB">
        <w:t xml:space="preserve"> parentérale (</w:t>
      </w:r>
      <w:proofErr w:type="spellStart"/>
      <w:r w:rsidR="007611AB">
        <w:t>Céfotaxime</w:t>
      </w:r>
      <w:proofErr w:type="spellEnd"/>
      <w:r w:rsidR="007611AB">
        <w:t xml:space="preserve"> </w:t>
      </w:r>
      <w:proofErr w:type="spellStart"/>
      <w:r w:rsidR="007611AB">
        <w:t>ouC</w:t>
      </w:r>
      <w:r w:rsidR="006B68DA">
        <w:t>eftriaxone</w:t>
      </w:r>
      <w:proofErr w:type="spellEnd"/>
      <w:r w:rsidR="006B68DA">
        <w:t>) si prise de quinolone dans les 6 mois précédents. Pas de C3G orale.</w:t>
      </w:r>
    </w:p>
    <w:p w:rsidR="00271593" w:rsidRDefault="007611AB" w:rsidP="00271593">
      <w:pPr>
        <w:pStyle w:val="Paragraphedeliste"/>
        <w:ind w:left="1080"/>
      </w:pPr>
      <w:r>
        <w:t>Si allergie : aminoside (</w:t>
      </w:r>
      <w:proofErr w:type="spellStart"/>
      <w:r>
        <w:t>Amika,Genta</w:t>
      </w:r>
      <w:proofErr w:type="spellEnd"/>
      <w:r>
        <w:t xml:space="preserve">, </w:t>
      </w:r>
      <w:proofErr w:type="spellStart"/>
      <w:r>
        <w:t>Tobra</w:t>
      </w:r>
      <w:proofErr w:type="spellEnd"/>
      <w:r>
        <w:t xml:space="preserve"> en monothérapie 5j) ou </w:t>
      </w:r>
      <w:proofErr w:type="spellStart"/>
      <w:r>
        <w:t>A</w:t>
      </w:r>
      <w:r w:rsidR="00271593">
        <w:t>zthréonam</w:t>
      </w:r>
      <w:proofErr w:type="spellEnd"/>
      <w:r w:rsidR="00271593">
        <w:t>.</w:t>
      </w:r>
    </w:p>
    <w:p w:rsidR="00242374" w:rsidRDefault="00242374" w:rsidP="00271593">
      <w:pPr>
        <w:pStyle w:val="Paragraphedeliste"/>
        <w:ind w:left="1080"/>
      </w:pPr>
    </w:p>
    <w:p w:rsidR="00242374" w:rsidRDefault="00242374" w:rsidP="00271593">
      <w:pPr>
        <w:pStyle w:val="Paragraphedeliste"/>
        <w:ind w:left="1080"/>
      </w:pPr>
      <w:r>
        <w:t xml:space="preserve">Le relais doit être adapté aux résultats de l’antibiogramme. En l’absence </w:t>
      </w:r>
      <w:r w:rsidR="00867D21">
        <w:t>d’EBLSE</w:t>
      </w:r>
      <w:r>
        <w:t> :</w:t>
      </w:r>
      <w:r w:rsidR="00EF599B">
        <w:t xml:space="preserve"> Désescalade si possible dès que l’antibiogramme est disponible.</w:t>
      </w:r>
    </w:p>
    <w:p w:rsidR="00242374" w:rsidRDefault="00867D21" w:rsidP="00271593">
      <w:pPr>
        <w:pStyle w:val="Paragraphedeliste"/>
        <w:ind w:left="1080"/>
      </w:pPr>
      <w:r>
        <w:t>-Amoxicilline</w:t>
      </w:r>
      <w:r w:rsidR="00242374">
        <w:t xml:space="preserve"> 1g x /3j 10-14j</w:t>
      </w:r>
      <w:r w:rsidR="00F57941">
        <w:t>ours</w:t>
      </w:r>
    </w:p>
    <w:p w:rsidR="00242374" w:rsidRDefault="00242374" w:rsidP="00271593">
      <w:pPr>
        <w:pStyle w:val="Paragraphedeliste"/>
        <w:ind w:left="1080"/>
      </w:pPr>
      <w:r>
        <w:t>-</w:t>
      </w:r>
      <w:proofErr w:type="spellStart"/>
      <w:r w:rsidR="00867D21">
        <w:t>Amox</w:t>
      </w:r>
      <w:proofErr w:type="spellEnd"/>
      <w:r w:rsidR="00867D21">
        <w:t>/</w:t>
      </w:r>
      <w:proofErr w:type="spellStart"/>
      <w:r w:rsidR="00867D21">
        <w:t>Ac</w:t>
      </w:r>
      <w:proofErr w:type="spellEnd"/>
      <w:r w:rsidR="00867D21">
        <w:t xml:space="preserve"> clavulanique</w:t>
      </w:r>
      <w:r>
        <w:t xml:space="preserve"> 1g x 3/j 10-14j</w:t>
      </w:r>
      <w:r w:rsidR="00F57941">
        <w:t>ours</w:t>
      </w:r>
    </w:p>
    <w:p w:rsidR="00242374" w:rsidRDefault="00242374" w:rsidP="00271593">
      <w:pPr>
        <w:pStyle w:val="Paragraphedeliste"/>
        <w:ind w:left="1080"/>
      </w:pPr>
      <w:r>
        <w:t>-</w:t>
      </w:r>
      <w:proofErr w:type="spellStart"/>
      <w:r>
        <w:t>Cefixime</w:t>
      </w:r>
      <w:proofErr w:type="spellEnd"/>
      <w:r>
        <w:t xml:space="preserve"> </w:t>
      </w:r>
    </w:p>
    <w:p w:rsidR="007B1316" w:rsidRDefault="007B1316" w:rsidP="00271593">
      <w:pPr>
        <w:pStyle w:val="Paragraphedeliste"/>
        <w:ind w:left="1080"/>
      </w:pPr>
      <w:r>
        <w:t>-</w:t>
      </w:r>
      <w:proofErr w:type="spellStart"/>
      <w:r>
        <w:t>fluoroquinolones</w:t>
      </w:r>
      <w:proofErr w:type="spellEnd"/>
      <w:r w:rsidR="00867D21">
        <w:t xml:space="preserve"> ( </w:t>
      </w:r>
      <w:proofErr w:type="spellStart"/>
      <w:r w:rsidR="00867D21">
        <w:t>Cipro</w:t>
      </w:r>
      <w:proofErr w:type="spellEnd"/>
      <w:r w:rsidR="00867D21">
        <w:t xml:space="preserve">, </w:t>
      </w:r>
      <w:proofErr w:type="spellStart"/>
      <w:r w:rsidR="00867D21">
        <w:t>Levo</w:t>
      </w:r>
      <w:proofErr w:type="spellEnd"/>
      <w:r w:rsidR="00867D21">
        <w:t xml:space="preserve">) </w:t>
      </w:r>
      <w:r w:rsidR="00137016">
        <w:t xml:space="preserve"> 7j</w:t>
      </w:r>
      <w:r w:rsidR="00F57941">
        <w:t>ours</w:t>
      </w:r>
    </w:p>
    <w:p w:rsidR="007B1316" w:rsidRDefault="00867D21" w:rsidP="00271593">
      <w:pPr>
        <w:pStyle w:val="Paragraphedeliste"/>
        <w:ind w:left="1080"/>
      </w:pPr>
      <w:r>
        <w:t>-</w:t>
      </w:r>
      <w:proofErr w:type="spellStart"/>
      <w:r>
        <w:t>B</w:t>
      </w:r>
      <w:r w:rsidR="007B1316">
        <w:t>actrim</w:t>
      </w:r>
      <w:proofErr w:type="spellEnd"/>
      <w:r w:rsidR="007B1316">
        <w:t xml:space="preserve"> fort </w:t>
      </w:r>
      <w:r w:rsidR="00137016">
        <w:t>1cp x 2/j 10-14j</w:t>
      </w:r>
      <w:r w:rsidR="00F57941">
        <w:t>ours</w:t>
      </w:r>
    </w:p>
    <w:p w:rsidR="00137016" w:rsidRDefault="00137016" w:rsidP="00271593">
      <w:pPr>
        <w:pStyle w:val="Paragraphedeliste"/>
        <w:ind w:left="1080"/>
      </w:pPr>
    </w:p>
    <w:p w:rsidR="00137016" w:rsidRPr="00041C6D" w:rsidRDefault="00137016" w:rsidP="00271593">
      <w:pPr>
        <w:pStyle w:val="Paragraphedeliste"/>
        <w:ind w:left="1080"/>
        <w:rPr>
          <w:b/>
        </w:rPr>
      </w:pPr>
      <w:r w:rsidRPr="00041C6D">
        <w:rPr>
          <w:b/>
        </w:rPr>
        <w:t>Durée de traitement d’une PNA simple ou documentée à EBLS dans l’ordre :</w:t>
      </w:r>
    </w:p>
    <w:tbl>
      <w:tblPr>
        <w:tblStyle w:val="Grilledutableau"/>
        <w:tblW w:w="8646" w:type="dxa"/>
        <w:tblInd w:w="421" w:type="dxa"/>
        <w:tblLook w:val="04A0" w:firstRow="1" w:lastRow="0" w:firstColumn="1" w:lastColumn="0" w:noHBand="0" w:noVBand="1"/>
      </w:tblPr>
      <w:tblGrid>
        <w:gridCol w:w="1701"/>
        <w:gridCol w:w="2835"/>
        <w:gridCol w:w="2126"/>
        <w:gridCol w:w="1984"/>
      </w:tblGrid>
      <w:tr w:rsidR="00D02A1F" w:rsidTr="00D02A1F">
        <w:tc>
          <w:tcPr>
            <w:tcW w:w="1701" w:type="dxa"/>
          </w:tcPr>
          <w:p w:rsidR="00D02A1F" w:rsidRDefault="00D02A1F" w:rsidP="00365FA8">
            <w:r>
              <w:t>1ère intention</w:t>
            </w:r>
          </w:p>
        </w:tc>
        <w:tc>
          <w:tcPr>
            <w:tcW w:w="2835" w:type="dxa"/>
          </w:tcPr>
          <w:p w:rsidR="00D02A1F" w:rsidRDefault="0065611B" w:rsidP="00365FA8">
            <w:pPr>
              <w:pStyle w:val="Paragraphedeliste"/>
              <w:ind w:left="0"/>
            </w:pPr>
            <w:proofErr w:type="spellStart"/>
            <w:r>
              <w:t>Fluoroquinolones</w:t>
            </w:r>
            <w:proofErr w:type="spellEnd"/>
            <w:r w:rsidR="00E860B9">
              <w:t>(</w:t>
            </w:r>
            <w:proofErr w:type="spellStart"/>
            <w:r w:rsidR="00E860B9">
              <w:t>cipro,lévo</w:t>
            </w:r>
            <w:proofErr w:type="spellEnd"/>
            <w:r w:rsidR="00E860B9">
              <w:t>)</w:t>
            </w:r>
          </w:p>
          <w:p w:rsidR="00284901" w:rsidRDefault="00306E59" w:rsidP="00365FA8">
            <w:pPr>
              <w:pStyle w:val="Paragraphedeliste"/>
              <w:ind w:left="0"/>
            </w:pPr>
            <w:proofErr w:type="spellStart"/>
            <w:r>
              <w:t>B</w:t>
            </w:r>
            <w:r w:rsidR="00284901">
              <w:t>actrim</w:t>
            </w:r>
            <w:proofErr w:type="spellEnd"/>
          </w:p>
        </w:tc>
        <w:tc>
          <w:tcPr>
            <w:tcW w:w="2126" w:type="dxa"/>
          </w:tcPr>
          <w:p w:rsidR="00D02A1F" w:rsidRDefault="00D02A1F" w:rsidP="00365FA8">
            <w:pPr>
              <w:pStyle w:val="Paragraphedeliste"/>
              <w:ind w:left="0"/>
            </w:pPr>
          </w:p>
        </w:tc>
        <w:tc>
          <w:tcPr>
            <w:tcW w:w="1984" w:type="dxa"/>
          </w:tcPr>
          <w:p w:rsidR="00D02A1F" w:rsidRDefault="00E860B9" w:rsidP="00681E6D">
            <w:pPr>
              <w:pStyle w:val="Paragraphedeliste"/>
              <w:ind w:left="0"/>
            </w:pPr>
            <w:r>
              <w:t>7</w:t>
            </w:r>
            <w:r w:rsidR="00681E6D">
              <w:t xml:space="preserve"> j</w:t>
            </w:r>
            <w:r w:rsidR="00F57941">
              <w:t>ours</w:t>
            </w:r>
          </w:p>
          <w:p w:rsidR="00284901" w:rsidRDefault="00284901" w:rsidP="00681E6D">
            <w:pPr>
              <w:pStyle w:val="Paragraphedeliste"/>
              <w:ind w:left="0"/>
            </w:pPr>
            <w:r>
              <w:t>10-14 jours</w:t>
            </w:r>
          </w:p>
        </w:tc>
      </w:tr>
      <w:tr w:rsidR="00D02A1F" w:rsidTr="00D02A1F">
        <w:tc>
          <w:tcPr>
            <w:tcW w:w="1701" w:type="dxa"/>
          </w:tcPr>
          <w:p w:rsidR="00D02A1F" w:rsidRDefault="00D02A1F" w:rsidP="00365FA8">
            <w:r>
              <w:t>2ème intention</w:t>
            </w:r>
          </w:p>
        </w:tc>
        <w:tc>
          <w:tcPr>
            <w:tcW w:w="2835" w:type="dxa"/>
          </w:tcPr>
          <w:p w:rsidR="00D02A1F" w:rsidRDefault="00E860B9" w:rsidP="00365FA8">
            <w:pPr>
              <w:pStyle w:val="Paragraphedeliste"/>
              <w:ind w:left="0"/>
            </w:pPr>
            <w:r>
              <w:t xml:space="preserve">Augmentin </w:t>
            </w:r>
          </w:p>
        </w:tc>
        <w:tc>
          <w:tcPr>
            <w:tcW w:w="2126" w:type="dxa"/>
          </w:tcPr>
          <w:p w:rsidR="00D02A1F" w:rsidRDefault="00E860B9" w:rsidP="00365FA8">
            <w:pPr>
              <w:pStyle w:val="Paragraphedeliste"/>
              <w:ind w:left="0"/>
            </w:pPr>
            <w:r>
              <w:t>Si CMI ≤</w:t>
            </w:r>
            <w:r w:rsidR="00284901">
              <w:t xml:space="preserve"> 8mg/l</w:t>
            </w:r>
          </w:p>
        </w:tc>
        <w:tc>
          <w:tcPr>
            <w:tcW w:w="1984" w:type="dxa"/>
          </w:tcPr>
          <w:p w:rsidR="00D02A1F" w:rsidRDefault="00284901" w:rsidP="00365FA8">
            <w:pPr>
              <w:pStyle w:val="Paragraphedeliste"/>
              <w:ind w:left="0"/>
            </w:pPr>
            <w:r>
              <w:t>7 jours</w:t>
            </w:r>
          </w:p>
        </w:tc>
      </w:tr>
      <w:tr w:rsidR="00D02A1F" w:rsidTr="00D02A1F">
        <w:tc>
          <w:tcPr>
            <w:tcW w:w="1701" w:type="dxa"/>
          </w:tcPr>
          <w:p w:rsidR="00D02A1F" w:rsidRDefault="00D02A1F" w:rsidP="00365FA8">
            <w:r>
              <w:t>3ème intention</w:t>
            </w:r>
          </w:p>
        </w:tc>
        <w:tc>
          <w:tcPr>
            <w:tcW w:w="2835" w:type="dxa"/>
          </w:tcPr>
          <w:p w:rsidR="00284901" w:rsidRDefault="006B68DA" w:rsidP="00365FA8">
            <w:pPr>
              <w:pStyle w:val="Paragraphedeliste"/>
              <w:ind w:left="0"/>
            </w:pPr>
            <w:proofErr w:type="spellStart"/>
            <w:r>
              <w:t>céfoxitine</w:t>
            </w:r>
            <w:proofErr w:type="spellEnd"/>
            <w:r>
              <w:t xml:space="preserve"> ou </w:t>
            </w:r>
            <w:proofErr w:type="spellStart"/>
            <w:r w:rsidR="00284901">
              <w:t>Tazocilline</w:t>
            </w:r>
            <w:proofErr w:type="spellEnd"/>
            <w:r w:rsidR="00306E59">
              <w:t xml:space="preserve">, ou </w:t>
            </w:r>
            <w:proofErr w:type="spellStart"/>
            <w:r w:rsidR="00306E59">
              <w:t>T</w:t>
            </w:r>
            <w:r>
              <w:t>émocilline</w:t>
            </w:r>
            <w:proofErr w:type="spellEnd"/>
          </w:p>
          <w:p w:rsidR="00D02A1F" w:rsidRDefault="00D02A1F" w:rsidP="00365FA8">
            <w:pPr>
              <w:pStyle w:val="Paragraphedeliste"/>
              <w:ind w:left="0"/>
            </w:pPr>
          </w:p>
        </w:tc>
        <w:tc>
          <w:tcPr>
            <w:tcW w:w="2126" w:type="dxa"/>
          </w:tcPr>
          <w:p w:rsidR="00D02A1F" w:rsidRDefault="00514254" w:rsidP="00365FA8">
            <w:pPr>
              <w:pStyle w:val="Paragraphedeliste"/>
              <w:ind w:left="0"/>
            </w:pPr>
            <w:r>
              <w:t>Si CMI ≤ 8mg/l</w:t>
            </w:r>
          </w:p>
          <w:p w:rsidR="00514254" w:rsidRDefault="00514254" w:rsidP="006B68DA">
            <w:pPr>
              <w:pStyle w:val="Paragraphedeliste"/>
              <w:ind w:left="0"/>
            </w:pPr>
          </w:p>
        </w:tc>
        <w:tc>
          <w:tcPr>
            <w:tcW w:w="1984" w:type="dxa"/>
          </w:tcPr>
          <w:p w:rsidR="00D02A1F" w:rsidRDefault="00514254" w:rsidP="00365FA8">
            <w:pPr>
              <w:pStyle w:val="Paragraphedeliste"/>
              <w:ind w:left="0"/>
            </w:pPr>
            <w:r>
              <w:t>7jours</w:t>
            </w:r>
          </w:p>
        </w:tc>
      </w:tr>
      <w:tr w:rsidR="00D02A1F" w:rsidTr="00D02A1F">
        <w:tc>
          <w:tcPr>
            <w:tcW w:w="1701" w:type="dxa"/>
          </w:tcPr>
          <w:p w:rsidR="00D02A1F" w:rsidRDefault="00D02A1F" w:rsidP="00365FA8">
            <w:r>
              <w:t>4ème intention</w:t>
            </w:r>
          </w:p>
        </w:tc>
        <w:tc>
          <w:tcPr>
            <w:tcW w:w="2835" w:type="dxa"/>
          </w:tcPr>
          <w:p w:rsidR="00D02A1F" w:rsidRDefault="00514254" w:rsidP="00365FA8">
            <w:pPr>
              <w:pStyle w:val="Paragraphedeliste"/>
              <w:ind w:left="0"/>
            </w:pPr>
            <w:r>
              <w:t>Aminoside monothérapie</w:t>
            </w:r>
          </w:p>
        </w:tc>
        <w:tc>
          <w:tcPr>
            <w:tcW w:w="2126" w:type="dxa"/>
          </w:tcPr>
          <w:p w:rsidR="00D02A1F" w:rsidRDefault="00D02A1F" w:rsidP="00365FA8">
            <w:pPr>
              <w:pStyle w:val="Paragraphedeliste"/>
              <w:ind w:left="0"/>
            </w:pPr>
          </w:p>
        </w:tc>
        <w:tc>
          <w:tcPr>
            <w:tcW w:w="1984" w:type="dxa"/>
          </w:tcPr>
          <w:p w:rsidR="00D02A1F" w:rsidRDefault="00514254" w:rsidP="00365FA8">
            <w:pPr>
              <w:pStyle w:val="Paragraphedeliste"/>
              <w:ind w:left="0"/>
            </w:pPr>
            <w:r>
              <w:t>5-7 jours</w:t>
            </w:r>
          </w:p>
        </w:tc>
      </w:tr>
      <w:tr w:rsidR="00D02A1F" w:rsidTr="00D02A1F">
        <w:tc>
          <w:tcPr>
            <w:tcW w:w="1701" w:type="dxa"/>
          </w:tcPr>
          <w:p w:rsidR="00D02A1F" w:rsidRDefault="00D02A1F" w:rsidP="00365FA8">
            <w:r>
              <w:t>5ème intention</w:t>
            </w:r>
          </w:p>
        </w:tc>
        <w:tc>
          <w:tcPr>
            <w:tcW w:w="2835" w:type="dxa"/>
          </w:tcPr>
          <w:p w:rsidR="00D02A1F" w:rsidRDefault="0070717F" w:rsidP="00365FA8">
            <w:pPr>
              <w:pStyle w:val="Paragraphedeliste"/>
              <w:ind w:left="0"/>
            </w:pPr>
            <w:proofErr w:type="spellStart"/>
            <w:r>
              <w:t>Imipénème</w:t>
            </w:r>
            <w:proofErr w:type="spellEnd"/>
            <w:r>
              <w:t xml:space="preserve"> ou </w:t>
            </w:r>
            <w:proofErr w:type="spellStart"/>
            <w:r>
              <w:t>Méropénème</w:t>
            </w:r>
            <w:proofErr w:type="spellEnd"/>
            <w:r>
              <w:t xml:space="preserve"> en attaque, </w:t>
            </w:r>
            <w:proofErr w:type="spellStart"/>
            <w:r>
              <w:t>E</w:t>
            </w:r>
            <w:r w:rsidR="002C6525">
              <w:t>rtapénème</w:t>
            </w:r>
            <w:proofErr w:type="spellEnd"/>
            <w:r w:rsidR="002C6525">
              <w:t xml:space="preserve"> en relais</w:t>
            </w:r>
          </w:p>
        </w:tc>
        <w:tc>
          <w:tcPr>
            <w:tcW w:w="2126" w:type="dxa"/>
          </w:tcPr>
          <w:p w:rsidR="00D02A1F" w:rsidRDefault="00D02A1F" w:rsidP="00365FA8">
            <w:pPr>
              <w:pStyle w:val="Paragraphedeliste"/>
              <w:ind w:left="0"/>
            </w:pPr>
          </w:p>
        </w:tc>
        <w:tc>
          <w:tcPr>
            <w:tcW w:w="1984" w:type="dxa"/>
          </w:tcPr>
          <w:p w:rsidR="00D02A1F" w:rsidRDefault="00D02A1F" w:rsidP="00365FA8">
            <w:pPr>
              <w:pStyle w:val="Paragraphedeliste"/>
              <w:ind w:left="0"/>
            </w:pPr>
          </w:p>
        </w:tc>
      </w:tr>
    </w:tbl>
    <w:p w:rsidR="00137016" w:rsidRDefault="00137016" w:rsidP="00271593">
      <w:pPr>
        <w:pStyle w:val="Paragraphedeliste"/>
        <w:ind w:left="1080"/>
      </w:pPr>
    </w:p>
    <w:p w:rsidR="00137016" w:rsidRDefault="00137016" w:rsidP="00271593">
      <w:pPr>
        <w:pStyle w:val="Paragraphedeliste"/>
        <w:ind w:left="1080"/>
      </w:pPr>
    </w:p>
    <w:p w:rsidR="00137016" w:rsidRDefault="00D84A68" w:rsidP="00271593">
      <w:pPr>
        <w:pStyle w:val="Paragraphedeliste"/>
        <w:ind w:left="1080"/>
      </w:pPr>
      <w:r>
        <w:t xml:space="preserve">Les </w:t>
      </w:r>
      <w:proofErr w:type="spellStart"/>
      <w:r>
        <w:t>carbapenem</w:t>
      </w:r>
      <w:r w:rsidR="00306E59">
        <w:t>e</w:t>
      </w:r>
      <w:r>
        <w:t>s</w:t>
      </w:r>
      <w:proofErr w:type="spellEnd"/>
      <w:r>
        <w:t xml:space="preserve"> doivent être réservé</w:t>
      </w:r>
      <w:r w:rsidR="00306E59">
        <w:t>s</w:t>
      </w:r>
      <w:r>
        <w:t xml:space="preserve"> aux situations où il n’existe pas d’autre alternative : </w:t>
      </w:r>
      <w:proofErr w:type="spellStart"/>
      <w:r>
        <w:t>imipenem</w:t>
      </w:r>
      <w:proofErr w:type="spellEnd"/>
      <w:r>
        <w:t xml:space="preserve"> ou</w:t>
      </w:r>
      <w:r w:rsidR="00041C6D">
        <w:t xml:space="preserve"> </w:t>
      </w:r>
      <w:proofErr w:type="spellStart"/>
      <w:r w:rsidR="00041C6D">
        <w:t>méropenem</w:t>
      </w:r>
      <w:proofErr w:type="spellEnd"/>
      <w:r w:rsidR="00041C6D">
        <w:t xml:space="preserve"> en traitement d’atta</w:t>
      </w:r>
      <w:r>
        <w:t>q</w:t>
      </w:r>
      <w:r w:rsidR="00041C6D">
        <w:t>u</w:t>
      </w:r>
      <w:r>
        <w:t xml:space="preserve">e, </w:t>
      </w:r>
      <w:proofErr w:type="spellStart"/>
      <w:r>
        <w:t>ertapenem</w:t>
      </w:r>
      <w:proofErr w:type="spellEnd"/>
      <w:r>
        <w:t xml:space="preserve"> en relais.</w:t>
      </w:r>
    </w:p>
    <w:p w:rsidR="00D84A68" w:rsidRDefault="00D84A68" w:rsidP="00271593">
      <w:pPr>
        <w:pStyle w:val="Paragraphedeliste"/>
        <w:ind w:left="1080"/>
      </w:pPr>
      <w:r>
        <w:t>Dans les PNA simples à risque de complication la durée du traitement peut être de plus de 21 jours dans certaines situations (abcès rénal par exemple).</w:t>
      </w:r>
    </w:p>
    <w:p w:rsidR="00D84A68" w:rsidRDefault="00D84A68" w:rsidP="00271593">
      <w:pPr>
        <w:pStyle w:val="Paragraphedeliste"/>
        <w:ind w:left="1080"/>
      </w:pPr>
    </w:p>
    <w:p w:rsidR="00D84A68" w:rsidRPr="00041C6D" w:rsidRDefault="00D84A68" w:rsidP="00D84A68">
      <w:pPr>
        <w:pStyle w:val="Paragraphedeliste"/>
        <w:numPr>
          <w:ilvl w:val="0"/>
          <w:numId w:val="3"/>
        </w:numPr>
        <w:rPr>
          <w:b/>
        </w:rPr>
      </w:pPr>
      <w:r w:rsidRPr="00D84A68">
        <w:rPr>
          <w:b/>
        </w:rPr>
        <w:t xml:space="preserve">PNA gravidique : hospitalisation systémique </w:t>
      </w:r>
      <w:r w:rsidRPr="00D84A68">
        <w:rPr>
          <w:b/>
          <w:u w:val="single"/>
        </w:rPr>
        <w:t xml:space="preserve">et pas de </w:t>
      </w:r>
      <w:proofErr w:type="spellStart"/>
      <w:r w:rsidRPr="00D84A68">
        <w:rPr>
          <w:b/>
          <w:u w:val="single"/>
        </w:rPr>
        <w:t>fluoroquinolones</w:t>
      </w:r>
      <w:proofErr w:type="spellEnd"/>
      <w:r w:rsidRPr="00D84A68">
        <w:rPr>
          <w:b/>
          <w:u w:val="single"/>
        </w:rPr>
        <w:t>.</w:t>
      </w:r>
    </w:p>
    <w:p w:rsidR="00041C6D" w:rsidRPr="00D84A68" w:rsidRDefault="00041C6D" w:rsidP="00041C6D">
      <w:pPr>
        <w:pStyle w:val="Paragraphedeliste"/>
        <w:ind w:left="1080"/>
        <w:rPr>
          <w:b/>
        </w:rPr>
      </w:pPr>
    </w:p>
    <w:p w:rsidR="00D84A68" w:rsidRPr="00D84A68" w:rsidRDefault="00D84A68" w:rsidP="00D84A68">
      <w:pPr>
        <w:pStyle w:val="Paragraphedeliste"/>
        <w:numPr>
          <w:ilvl w:val="0"/>
          <w:numId w:val="3"/>
        </w:numPr>
        <w:rPr>
          <w:b/>
        </w:rPr>
      </w:pPr>
      <w:r>
        <w:rPr>
          <w:b/>
        </w:rPr>
        <w:t xml:space="preserve">PNA avec signe de gravité </w:t>
      </w:r>
      <w:r w:rsidR="00306E59">
        <w:t>(se</w:t>
      </w:r>
      <w:r w:rsidR="00155DC8">
        <w:t>p</w:t>
      </w:r>
      <w:r w:rsidR="00306E59">
        <w:t>s</w:t>
      </w:r>
      <w:r w:rsidR="00155DC8">
        <w:t>is grave, ch</w:t>
      </w:r>
      <w:r>
        <w:t>oc septique, indication de drainage urologique ou instrumental des voies urinaires)</w:t>
      </w:r>
    </w:p>
    <w:p w:rsidR="00D84A68" w:rsidRDefault="00D84A68" w:rsidP="00D84A68">
      <w:pPr>
        <w:ind w:left="720"/>
        <w:rPr>
          <w:b/>
        </w:rPr>
      </w:pPr>
      <w:r>
        <w:rPr>
          <w:b/>
        </w:rPr>
        <w:t>En cas d’obstacle un drainage est urgent (</w:t>
      </w:r>
      <w:proofErr w:type="spellStart"/>
      <w:r>
        <w:rPr>
          <w:b/>
        </w:rPr>
        <w:t>uroscanner</w:t>
      </w:r>
      <w:proofErr w:type="spellEnd"/>
      <w:r>
        <w:rPr>
          <w:b/>
        </w:rPr>
        <w:t>)</w:t>
      </w:r>
    </w:p>
    <w:p w:rsidR="00D84A68" w:rsidRDefault="00D84A68" w:rsidP="00D84A68">
      <w:pPr>
        <w:ind w:left="720"/>
        <w:rPr>
          <w:b/>
        </w:rPr>
      </w:pPr>
      <w:r>
        <w:rPr>
          <w:b/>
        </w:rPr>
        <w:t>Traitement probabiliste</w:t>
      </w:r>
      <w:r w:rsidR="00962A10">
        <w:rPr>
          <w:b/>
        </w:rPr>
        <w:t> ;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792"/>
        <w:gridCol w:w="4944"/>
      </w:tblGrid>
      <w:tr w:rsidR="00962A10" w:rsidTr="00962A10">
        <w:tc>
          <w:tcPr>
            <w:tcW w:w="5228" w:type="dxa"/>
          </w:tcPr>
          <w:p w:rsidR="00962A10" w:rsidRDefault="00C43C7E" w:rsidP="00D84A68">
            <w:pPr>
              <w:rPr>
                <w:b/>
              </w:rPr>
            </w:pPr>
            <w:r>
              <w:rPr>
                <w:b/>
              </w:rPr>
              <w:lastRenderedPageBreak/>
              <w:t>Première intention</w:t>
            </w:r>
          </w:p>
        </w:tc>
        <w:tc>
          <w:tcPr>
            <w:tcW w:w="5228" w:type="dxa"/>
          </w:tcPr>
          <w:p w:rsidR="00962A10" w:rsidRPr="001A5C1D" w:rsidRDefault="00B6671D" w:rsidP="00306E59">
            <w:proofErr w:type="spellStart"/>
            <w:r>
              <w:t>Cefotaxime</w:t>
            </w:r>
            <w:proofErr w:type="spellEnd"/>
            <w:r>
              <w:t xml:space="preserve"> </w:t>
            </w:r>
            <w:r w:rsidR="00F543DA">
              <w:t xml:space="preserve">2g x 3/j </w:t>
            </w:r>
            <w:r w:rsidR="00306E59">
              <w:t xml:space="preserve">ou </w:t>
            </w:r>
            <w:proofErr w:type="spellStart"/>
            <w:r w:rsidR="00306E59">
              <w:t>C</w:t>
            </w:r>
            <w:r w:rsidR="001A5C1D">
              <w:t>eftriaxone</w:t>
            </w:r>
            <w:proofErr w:type="spellEnd"/>
            <w:r w:rsidR="001A5C1D">
              <w:t xml:space="preserve"> </w:t>
            </w:r>
            <w:r w:rsidR="00F543DA">
              <w:t xml:space="preserve">2g/j </w:t>
            </w:r>
            <w:r>
              <w:t xml:space="preserve">+ </w:t>
            </w:r>
            <w:proofErr w:type="spellStart"/>
            <w:r w:rsidR="00306E59">
              <w:t>Amikacine</w:t>
            </w:r>
            <w:proofErr w:type="spellEnd"/>
            <w:r w:rsidR="00F543DA">
              <w:t>(30mg/kg/jours 1-3jours)*</w:t>
            </w:r>
            <w:r>
              <w:t xml:space="preserve"> </w:t>
            </w:r>
          </w:p>
        </w:tc>
      </w:tr>
      <w:tr w:rsidR="00962A10" w:rsidTr="00962A10">
        <w:tc>
          <w:tcPr>
            <w:tcW w:w="5228" w:type="dxa"/>
          </w:tcPr>
          <w:p w:rsidR="00962A10" w:rsidRDefault="00C43C7E" w:rsidP="00D84A68">
            <w:pPr>
              <w:rPr>
                <w:b/>
              </w:rPr>
            </w:pPr>
            <w:r>
              <w:rPr>
                <w:b/>
              </w:rPr>
              <w:t>Si allergie (avec ou sans BLSE)</w:t>
            </w:r>
          </w:p>
        </w:tc>
        <w:tc>
          <w:tcPr>
            <w:tcW w:w="5228" w:type="dxa"/>
          </w:tcPr>
          <w:p w:rsidR="00962A10" w:rsidRPr="00155DC8" w:rsidRDefault="00155DC8" w:rsidP="00306E59">
            <w:proofErr w:type="spellStart"/>
            <w:r w:rsidRPr="00155DC8">
              <w:t>Aztréonam</w:t>
            </w:r>
            <w:proofErr w:type="spellEnd"/>
            <w:r w:rsidRPr="00155DC8">
              <w:t xml:space="preserve"> (1-2g x 3)</w:t>
            </w:r>
            <w:r>
              <w:t xml:space="preserve"> + </w:t>
            </w:r>
            <w:proofErr w:type="spellStart"/>
            <w:r w:rsidR="00306E59">
              <w:t>Amikacine</w:t>
            </w:r>
            <w:proofErr w:type="spellEnd"/>
            <w:r w:rsidR="00306E59">
              <w:t xml:space="preserve"> </w:t>
            </w:r>
            <w:r w:rsidR="00835FD9">
              <w:t>30mg/kg/j</w:t>
            </w:r>
          </w:p>
        </w:tc>
      </w:tr>
      <w:tr w:rsidR="00962A10" w:rsidTr="00962A10">
        <w:tc>
          <w:tcPr>
            <w:tcW w:w="5228" w:type="dxa"/>
          </w:tcPr>
          <w:p w:rsidR="00962A10" w:rsidRDefault="00C43C7E" w:rsidP="00D84A68">
            <w:pPr>
              <w:rPr>
                <w:b/>
              </w:rPr>
            </w:pPr>
            <w:r>
              <w:rPr>
                <w:b/>
              </w:rPr>
              <w:t xml:space="preserve">Si </w:t>
            </w:r>
            <w:proofErr w:type="spellStart"/>
            <w:r>
              <w:rPr>
                <w:b/>
              </w:rPr>
              <w:t>atcd</w:t>
            </w:r>
            <w:proofErr w:type="spellEnd"/>
            <w:r>
              <w:rPr>
                <w:b/>
              </w:rPr>
              <w:t xml:space="preserve"> EBLSE urinaire</w:t>
            </w:r>
          </w:p>
        </w:tc>
        <w:tc>
          <w:tcPr>
            <w:tcW w:w="5228" w:type="dxa"/>
          </w:tcPr>
          <w:p w:rsidR="00962A10" w:rsidRPr="00835FD9" w:rsidRDefault="00835FD9" w:rsidP="00306E59">
            <w:proofErr w:type="spellStart"/>
            <w:r w:rsidRPr="00835FD9">
              <w:t>Imipenem</w:t>
            </w:r>
            <w:proofErr w:type="spellEnd"/>
            <w:r w:rsidRPr="00835FD9">
              <w:t xml:space="preserve"> 1g x 3 + </w:t>
            </w:r>
            <w:proofErr w:type="spellStart"/>
            <w:r w:rsidR="00306E59">
              <w:t>Amikacine</w:t>
            </w:r>
            <w:proofErr w:type="spellEnd"/>
            <w:r w:rsidRPr="00835FD9">
              <w:t xml:space="preserve"> 30mg/kg/j</w:t>
            </w:r>
          </w:p>
        </w:tc>
      </w:tr>
      <w:tr w:rsidR="00962A10" w:rsidTr="00962A10">
        <w:tc>
          <w:tcPr>
            <w:tcW w:w="5228" w:type="dxa"/>
          </w:tcPr>
          <w:p w:rsidR="00962A10" w:rsidRDefault="00C43C7E" w:rsidP="00D84A68">
            <w:pPr>
              <w:rPr>
                <w:b/>
              </w:rPr>
            </w:pPr>
            <w:r>
              <w:rPr>
                <w:b/>
              </w:rPr>
              <w:t xml:space="preserve">Si choc septique et </w:t>
            </w:r>
            <w:proofErr w:type="spellStart"/>
            <w:r>
              <w:rPr>
                <w:b/>
              </w:rPr>
              <w:t>FdR</w:t>
            </w:r>
            <w:proofErr w:type="spellEnd"/>
            <w:r>
              <w:rPr>
                <w:b/>
              </w:rPr>
              <w:t xml:space="preserve"> EBLSE***</w:t>
            </w:r>
          </w:p>
        </w:tc>
        <w:tc>
          <w:tcPr>
            <w:tcW w:w="5228" w:type="dxa"/>
          </w:tcPr>
          <w:p w:rsidR="00962A10" w:rsidRDefault="00835FD9" w:rsidP="00306E59">
            <w:pPr>
              <w:rPr>
                <w:b/>
              </w:rPr>
            </w:pPr>
            <w:proofErr w:type="spellStart"/>
            <w:r w:rsidRPr="00835FD9">
              <w:t>Imipenem</w:t>
            </w:r>
            <w:proofErr w:type="spellEnd"/>
            <w:r w:rsidRPr="00835FD9">
              <w:t xml:space="preserve"> 1g x 3 +</w:t>
            </w:r>
            <w:proofErr w:type="spellStart"/>
            <w:r w:rsidR="00306E59">
              <w:t>Amikacine</w:t>
            </w:r>
            <w:proofErr w:type="spellEnd"/>
            <w:r w:rsidRPr="00835FD9">
              <w:t xml:space="preserve"> 30mg/kg/j</w:t>
            </w:r>
          </w:p>
        </w:tc>
      </w:tr>
    </w:tbl>
    <w:p w:rsidR="00F543DA" w:rsidRDefault="00F543DA" w:rsidP="00F543DA">
      <w:pPr>
        <w:pStyle w:val="Paragraphedeliste"/>
        <w:ind w:left="1080"/>
      </w:pPr>
      <w:r>
        <w:t>*</w:t>
      </w:r>
      <w:r w:rsidRPr="00F543DA">
        <w:t xml:space="preserve">Le taux de résistance actuel des entérobactéries aux </w:t>
      </w:r>
      <w:proofErr w:type="spellStart"/>
      <w:r w:rsidRPr="00F543DA">
        <w:t>f</w:t>
      </w:r>
      <w:r w:rsidR="00F57E2A">
        <w:t>luoroquinolones</w:t>
      </w:r>
      <w:proofErr w:type="spellEnd"/>
      <w:r w:rsidR="00F57E2A">
        <w:t xml:space="preserve"> ne permet plus l</w:t>
      </w:r>
      <w:r w:rsidRPr="00F543DA">
        <w:t>’usage de cette classe en probabiliste dans les infections graves à entérobactéries.</w:t>
      </w:r>
    </w:p>
    <w:p w:rsidR="00F543DA" w:rsidRDefault="00F543DA" w:rsidP="00F543DA">
      <w:pPr>
        <w:pStyle w:val="Paragraphedeliste"/>
        <w:ind w:left="1080"/>
      </w:pPr>
      <w:r>
        <w:t xml:space="preserve">** </w:t>
      </w:r>
      <w:proofErr w:type="spellStart"/>
      <w:r>
        <w:t>FdR</w:t>
      </w:r>
      <w:proofErr w:type="spellEnd"/>
      <w:r>
        <w:t xml:space="preserve"> EBLSE</w:t>
      </w:r>
    </w:p>
    <w:p w:rsidR="00F543DA" w:rsidRDefault="00F543DA" w:rsidP="00F543DA">
      <w:pPr>
        <w:pStyle w:val="Paragraphedeliste"/>
        <w:ind w:left="1080"/>
      </w:pPr>
      <w:r>
        <w:t>-colonisation urinaire ou UI à EBLSE dans les 6 mois précédents</w:t>
      </w:r>
    </w:p>
    <w:p w:rsidR="00F543DA" w:rsidRDefault="00F543DA" w:rsidP="00F543DA">
      <w:pPr>
        <w:pStyle w:val="Paragraphedeliste"/>
        <w:ind w:left="1080"/>
      </w:pPr>
      <w:r>
        <w:t>-antibiothérapie dans les 6 mois précédents (quel que soit l’antibiotique reçu)</w:t>
      </w:r>
    </w:p>
    <w:p w:rsidR="00F543DA" w:rsidRDefault="00F543DA" w:rsidP="00F543DA">
      <w:pPr>
        <w:pStyle w:val="Paragraphedeliste"/>
        <w:ind w:left="1080"/>
      </w:pPr>
      <w:r>
        <w:t>-voyage récent en zone d’endémie d’EBLSE</w:t>
      </w:r>
    </w:p>
    <w:p w:rsidR="00F543DA" w:rsidRDefault="00F543DA" w:rsidP="00F543DA">
      <w:pPr>
        <w:pStyle w:val="Paragraphedeliste"/>
        <w:ind w:left="1080"/>
      </w:pPr>
      <w:r>
        <w:t>-hospitalisation dans les 3 mois précédents</w:t>
      </w:r>
    </w:p>
    <w:p w:rsidR="00F543DA" w:rsidRDefault="00F543DA" w:rsidP="00F543DA">
      <w:pPr>
        <w:pStyle w:val="Paragraphedeliste"/>
        <w:ind w:left="1080"/>
      </w:pPr>
      <w:r>
        <w:t>-vie en établissement de long-séjour</w:t>
      </w:r>
    </w:p>
    <w:p w:rsidR="00F543DA" w:rsidRDefault="00F543DA" w:rsidP="00F543DA">
      <w:pPr>
        <w:pStyle w:val="Paragraphedeliste"/>
        <w:ind w:left="1080"/>
      </w:pPr>
    </w:p>
    <w:p w:rsidR="004D565A" w:rsidRDefault="00F543DA" w:rsidP="00F543DA">
      <w:pPr>
        <w:pStyle w:val="Paragraphedeliste"/>
        <w:ind w:left="1080"/>
      </w:pPr>
      <w:r>
        <w:t xml:space="preserve">Le traitement de relais est le même que pour  </w:t>
      </w:r>
      <w:r w:rsidR="004D565A">
        <w:t>les PNA sans signe de gravité avec adjonction systémique d’un aminoside à la phase initiale en présence de EBLSE.</w:t>
      </w:r>
    </w:p>
    <w:p w:rsidR="00F543DA" w:rsidRDefault="004D565A" w:rsidP="00F543DA">
      <w:pPr>
        <w:pStyle w:val="Paragraphedeliste"/>
        <w:ind w:left="1080"/>
      </w:pPr>
      <w:r>
        <w:t xml:space="preserve">Durée totale de traitement : 10 à 14 jours </w:t>
      </w:r>
    </w:p>
    <w:p w:rsidR="004D565A" w:rsidRDefault="004D565A" w:rsidP="00F543DA">
      <w:pPr>
        <w:pStyle w:val="Paragraphedeliste"/>
        <w:ind w:left="1080"/>
      </w:pPr>
    </w:p>
    <w:p w:rsidR="004D565A" w:rsidRPr="004D565A" w:rsidRDefault="004D565A" w:rsidP="004D565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jc w:val="center"/>
        <w:rPr>
          <w:b/>
        </w:rPr>
      </w:pPr>
      <w:r>
        <w:rPr>
          <w:b/>
        </w:rPr>
        <w:t>INFECTIONS URINAIRES MASCULINES</w:t>
      </w:r>
    </w:p>
    <w:p w:rsidR="004D565A" w:rsidRDefault="004D565A" w:rsidP="00F543DA">
      <w:pPr>
        <w:pStyle w:val="Paragraphedeliste"/>
        <w:ind w:left="1080"/>
      </w:pPr>
    </w:p>
    <w:p w:rsidR="004D565A" w:rsidRPr="00F543DA" w:rsidRDefault="004D565A" w:rsidP="00F543DA">
      <w:pPr>
        <w:pStyle w:val="Paragraphedeliste"/>
        <w:ind w:left="1080"/>
      </w:pPr>
    </w:p>
    <w:p w:rsidR="00D84A68" w:rsidRDefault="004D565A" w:rsidP="00271593">
      <w:pPr>
        <w:pStyle w:val="Paragraphedeliste"/>
        <w:ind w:left="1080"/>
      </w:pPr>
      <w:r>
        <w:t xml:space="preserve">La bandelette urinaire a une </w:t>
      </w:r>
      <w:r w:rsidRPr="007225DC">
        <w:rPr>
          <w:b/>
        </w:rPr>
        <w:t>forte valeur prédictive positive</w:t>
      </w:r>
      <w:r>
        <w:t xml:space="preserve"> en présence de signes cliniques évocateurs.</w:t>
      </w:r>
    </w:p>
    <w:p w:rsidR="004D565A" w:rsidRDefault="004D565A" w:rsidP="00271593">
      <w:pPr>
        <w:pStyle w:val="Paragraphedeliste"/>
        <w:ind w:left="1080"/>
      </w:pPr>
      <w:r w:rsidRPr="00F57E2A">
        <w:rPr>
          <w:b/>
        </w:rPr>
        <w:t>ECBU systématiquement</w:t>
      </w:r>
      <w:r>
        <w:t>.</w:t>
      </w:r>
    </w:p>
    <w:p w:rsidR="004D565A" w:rsidRDefault="004D565A" w:rsidP="00271593">
      <w:pPr>
        <w:pStyle w:val="Paragraphedeliste"/>
        <w:ind w:left="1080"/>
      </w:pPr>
      <w:r>
        <w:t xml:space="preserve">Le seuil de bactériurie dans les prostatites </w:t>
      </w:r>
      <w:r w:rsidR="00D30CC5">
        <w:t>aiguës est fixé à 10³ UFC/ml.</w:t>
      </w:r>
    </w:p>
    <w:p w:rsidR="00D30CC5" w:rsidRDefault="00D30CC5" w:rsidP="00271593">
      <w:pPr>
        <w:pStyle w:val="Paragraphedeliste"/>
        <w:ind w:left="1080"/>
      </w:pPr>
      <w:r>
        <w:t>Le dosage de l’antigène spécifique de la prostate (PSA) n’est pas recommandé.</w:t>
      </w:r>
    </w:p>
    <w:p w:rsidR="00066847" w:rsidRDefault="00D30CC5" w:rsidP="00271593">
      <w:pPr>
        <w:pStyle w:val="Paragraphedeliste"/>
        <w:ind w:left="1080"/>
      </w:pPr>
      <w:r>
        <w:t xml:space="preserve">La présence d’une bactériurie à S. aureus est le plus souvent secondaire à une bactériémie, qui </w:t>
      </w:r>
      <w:r w:rsidR="00B804CB">
        <w:t xml:space="preserve">doit </w:t>
      </w:r>
      <w:r w:rsidR="00066847">
        <w:t xml:space="preserve">alors </w:t>
      </w:r>
    </w:p>
    <w:p w:rsidR="00D30CC5" w:rsidRDefault="00B804CB" w:rsidP="00271593">
      <w:pPr>
        <w:pStyle w:val="Paragraphedeliste"/>
        <w:ind w:left="1080"/>
      </w:pPr>
      <w:r>
        <w:t xml:space="preserve">être </w:t>
      </w:r>
      <w:r w:rsidR="00066847">
        <w:t>systématiquement recherchée par des hémocultures.</w:t>
      </w:r>
    </w:p>
    <w:p w:rsidR="00066847" w:rsidRPr="00005EED" w:rsidRDefault="00066847" w:rsidP="00271593">
      <w:pPr>
        <w:pStyle w:val="Paragraphedeliste"/>
        <w:ind w:left="1080"/>
        <w:rPr>
          <w:b/>
        </w:rPr>
      </w:pPr>
      <w:r w:rsidRPr="00005EED">
        <w:rPr>
          <w:b/>
        </w:rPr>
        <w:t xml:space="preserve">La colonisation  urinaire (bactériurie, avec ou sans </w:t>
      </w:r>
      <w:proofErr w:type="spellStart"/>
      <w:r w:rsidRPr="00005EED">
        <w:rPr>
          <w:b/>
        </w:rPr>
        <w:t>leucocyturie</w:t>
      </w:r>
      <w:proofErr w:type="spellEnd"/>
      <w:r w:rsidRPr="00005EED">
        <w:rPr>
          <w:b/>
        </w:rPr>
        <w:t xml:space="preserve">, et </w:t>
      </w:r>
      <w:r w:rsidRPr="00005EED">
        <w:rPr>
          <w:b/>
          <w:u w:val="single"/>
        </w:rPr>
        <w:t>sans signe clinique</w:t>
      </w:r>
      <w:r w:rsidR="00F57E2A">
        <w:rPr>
          <w:b/>
        </w:rPr>
        <w:t xml:space="preserve"> </w:t>
      </w:r>
      <w:r w:rsidRPr="00005EED">
        <w:rPr>
          <w:b/>
        </w:rPr>
        <w:t xml:space="preserve"> ne doit pas être traitée.</w:t>
      </w:r>
    </w:p>
    <w:p w:rsidR="00066847" w:rsidRDefault="00066847" w:rsidP="00271593">
      <w:pPr>
        <w:pStyle w:val="Paragraphedeliste"/>
        <w:ind w:left="1080"/>
      </w:pPr>
      <w:r>
        <w:t>Le drainage des urines est impératif en cas de rétention aiguë d’urine</w:t>
      </w:r>
      <w:r w:rsidR="00005EED">
        <w:t>.</w:t>
      </w:r>
    </w:p>
    <w:p w:rsidR="00005EED" w:rsidRDefault="00005EED" w:rsidP="00271593">
      <w:pPr>
        <w:pStyle w:val="Paragraphedeliste"/>
        <w:ind w:left="1080"/>
      </w:pPr>
      <w:r>
        <w:t>Le drainage chirurgical d’un abcès n’est à discuter qu’en cas d’évolution défavorable sous antibiotique.</w:t>
      </w:r>
    </w:p>
    <w:p w:rsidR="003D04C5" w:rsidRDefault="003D04C5" w:rsidP="00271593">
      <w:pPr>
        <w:pStyle w:val="Paragraphedeliste"/>
        <w:ind w:left="1080"/>
        <w:rPr>
          <w:b/>
          <w:u w:val="single"/>
        </w:rPr>
      </w:pPr>
    </w:p>
    <w:p w:rsidR="00005EED" w:rsidRPr="00005EED" w:rsidRDefault="00005EED" w:rsidP="00271593">
      <w:pPr>
        <w:pStyle w:val="Paragraphedeliste"/>
        <w:ind w:left="1080"/>
        <w:rPr>
          <w:b/>
          <w:u w:val="single"/>
        </w:rPr>
      </w:pPr>
      <w:r w:rsidRPr="00005EED">
        <w:rPr>
          <w:b/>
          <w:u w:val="single"/>
        </w:rPr>
        <w:t>Traitement probabiliste :</w:t>
      </w:r>
    </w:p>
    <w:p w:rsidR="00005EED" w:rsidRDefault="00005EED" w:rsidP="00271593">
      <w:pPr>
        <w:pStyle w:val="Paragraphedeliste"/>
        <w:ind w:left="1080"/>
      </w:pPr>
      <w:r>
        <w:t>-dans les formes pauci symptomatique, traitement différé identique à celui des pyélonéphrites.</w:t>
      </w:r>
    </w:p>
    <w:p w:rsidR="00BC5142" w:rsidRDefault="00BC5142" w:rsidP="00271593">
      <w:pPr>
        <w:pStyle w:val="Paragraphedeliste"/>
        <w:ind w:left="1080"/>
      </w:pPr>
      <w:r>
        <w:t>-en cas de fièvre, d’</w:t>
      </w:r>
      <w:proofErr w:type="spellStart"/>
      <w:r>
        <w:t>immunodrépression</w:t>
      </w:r>
      <w:proofErr w:type="spellEnd"/>
      <w:r>
        <w:t xml:space="preserve"> grave ou de rétention aiguë </w:t>
      </w:r>
      <w:r w:rsidR="00980DE6">
        <w:t>d’urine, le traitement est identique à celui des PNA à risque de complication, après ECBU.</w:t>
      </w:r>
    </w:p>
    <w:p w:rsidR="00980DE6" w:rsidRDefault="00980DE6" w:rsidP="00271593">
      <w:pPr>
        <w:pStyle w:val="Paragraphedeliste"/>
        <w:ind w:left="1080"/>
      </w:pPr>
      <w:r>
        <w:t>-en cas de sep</w:t>
      </w:r>
      <w:r w:rsidR="00F57E2A">
        <w:t>s</w:t>
      </w:r>
      <w:r>
        <w:t>is grave, le traiteme</w:t>
      </w:r>
      <w:r w:rsidR="00F57E2A">
        <w:t>nt est identique à celui des PNA</w:t>
      </w:r>
      <w:r>
        <w:t xml:space="preserve"> graves.</w:t>
      </w:r>
    </w:p>
    <w:p w:rsidR="00980DE6" w:rsidRDefault="00980DE6" w:rsidP="00271593">
      <w:pPr>
        <w:pStyle w:val="Paragraphedeliste"/>
        <w:ind w:left="1080"/>
      </w:pPr>
    </w:p>
    <w:p w:rsidR="00980DE6" w:rsidRPr="002C567E" w:rsidRDefault="00980DE6" w:rsidP="00271593">
      <w:pPr>
        <w:pStyle w:val="Paragraphedeliste"/>
        <w:ind w:left="1080"/>
        <w:rPr>
          <w:b/>
          <w:u w:val="single"/>
        </w:rPr>
      </w:pPr>
      <w:r w:rsidRPr="002C567E">
        <w:rPr>
          <w:b/>
          <w:u w:val="single"/>
        </w:rPr>
        <w:t>Relais :</w:t>
      </w:r>
    </w:p>
    <w:p w:rsidR="00980DE6" w:rsidRDefault="00980DE6" w:rsidP="00271593">
      <w:pPr>
        <w:pStyle w:val="Paragraphedeliste"/>
        <w:ind w:left="1080"/>
      </w:pPr>
      <w:r>
        <w:t>1</w:t>
      </w:r>
      <w:r w:rsidRPr="00980DE6">
        <w:rPr>
          <w:vertAlign w:val="superscript"/>
        </w:rPr>
        <w:t>ère</w:t>
      </w:r>
      <w:r w:rsidR="00F57E2A">
        <w:t xml:space="preserve"> intention : </w:t>
      </w:r>
      <w:proofErr w:type="spellStart"/>
      <w:r w:rsidR="00F57E2A">
        <w:t>F</w:t>
      </w:r>
      <w:r>
        <w:t>luoroquinolones</w:t>
      </w:r>
      <w:proofErr w:type="spellEnd"/>
    </w:p>
    <w:p w:rsidR="00980DE6" w:rsidRDefault="00F57E2A" w:rsidP="00271593">
      <w:pPr>
        <w:pStyle w:val="Paragraphedeliste"/>
        <w:ind w:left="1080"/>
      </w:pPr>
      <w:r>
        <w:t xml:space="preserve">2 </w:t>
      </w:r>
      <w:proofErr w:type="spellStart"/>
      <w:r>
        <w:t>ème</w:t>
      </w:r>
      <w:proofErr w:type="spellEnd"/>
      <w:r>
        <w:t xml:space="preserve"> intention : </w:t>
      </w:r>
      <w:proofErr w:type="spellStart"/>
      <w:r>
        <w:t>B</w:t>
      </w:r>
      <w:r w:rsidR="00980DE6">
        <w:t>actrim</w:t>
      </w:r>
      <w:proofErr w:type="spellEnd"/>
      <w:r w:rsidR="00F40F9B">
        <w:t xml:space="preserve"> </w:t>
      </w:r>
    </w:p>
    <w:p w:rsidR="00F40F9B" w:rsidRDefault="00F40F9B" w:rsidP="00271593">
      <w:pPr>
        <w:pStyle w:val="Paragraphedeliste"/>
        <w:ind w:left="1080"/>
      </w:pPr>
      <w:proofErr w:type="spellStart"/>
      <w:r>
        <w:t>Cefixime</w:t>
      </w:r>
      <w:proofErr w:type="spellEnd"/>
      <w:r>
        <w:t xml:space="preserve"> non indiqué même si souche S aux C3G</w:t>
      </w:r>
    </w:p>
    <w:p w:rsidR="00F40F9B" w:rsidRDefault="00F40F9B" w:rsidP="00271593">
      <w:pPr>
        <w:pStyle w:val="Paragraphedeliste"/>
        <w:ind w:left="1080"/>
      </w:pPr>
      <w:r>
        <w:t>Puis guidé par l’antibiogramme</w:t>
      </w:r>
    </w:p>
    <w:p w:rsidR="00F40F9B" w:rsidRDefault="00F40F9B" w:rsidP="00271593">
      <w:pPr>
        <w:pStyle w:val="Paragraphedeliste"/>
        <w:ind w:left="1080"/>
      </w:pPr>
      <w:r>
        <w:t>Dans le cas particulier des IU masculines documentées à EBLSE, le traitement de relais est le même</w:t>
      </w:r>
      <w:r w:rsidR="00F57E2A">
        <w:t xml:space="preserve"> que pour les PNA, sauf pour l’A</w:t>
      </w:r>
      <w:r>
        <w:t>ugmentin qui n’est pas recommandé.</w:t>
      </w:r>
    </w:p>
    <w:p w:rsidR="00F40F9B" w:rsidRDefault="00F40F9B" w:rsidP="00271593">
      <w:pPr>
        <w:pStyle w:val="Paragraphedeliste"/>
        <w:ind w:left="1080"/>
      </w:pPr>
    </w:p>
    <w:p w:rsidR="00F40F9B" w:rsidRPr="002C567E" w:rsidRDefault="00F40F9B" w:rsidP="00271593">
      <w:pPr>
        <w:pStyle w:val="Paragraphedeliste"/>
        <w:ind w:left="1080"/>
        <w:rPr>
          <w:b/>
          <w:u w:val="single"/>
        </w:rPr>
      </w:pPr>
      <w:r w:rsidRPr="002C567E">
        <w:rPr>
          <w:b/>
          <w:u w:val="single"/>
        </w:rPr>
        <w:t xml:space="preserve">Durée de traitement : </w:t>
      </w:r>
    </w:p>
    <w:p w:rsidR="00F40F9B" w:rsidRDefault="00F40F9B" w:rsidP="00271593">
      <w:pPr>
        <w:pStyle w:val="Paragraphedeliste"/>
        <w:ind w:left="1080"/>
      </w:pPr>
      <w:r>
        <w:t>14 jours mi</w:t>
      </w:r>
      <w:r w:rsidR="00F57E2A">
        <w:t xml:space="preserve">nimum pour les traitements par </w:t>
      </w:r>
      <w:proofErr w:type="spellStart"/>
      <w:r w:rsidR="00F57E2A">
        <w:t>Fluoroquinolones</w:t>
      </w:r>
      <w:proofErr w:type="spellEnd"/>
      <w:r w:rsidR="00F57E2A">
        <w:t xml:space="preserve"> ou </w:t>
      </w:r>
      <w:proofErr w:type="spellStart"/>
      <w:r w:rsidR="00F57E2A">
        <w:t>B</w:t>
      </w:r>
      <w:r>
        <w:t>actrim</w:t>
      </w:r>
      <w:proofErr w:type="spellEnd"/>
      <w:r>
        <w:t>.</w:t>
      </w:r>
    </w:p>
    <w:p w:rsidR="00F40F9B" w:rsidRDefault="00F40F9B" w:rsidP="00271593">
      <w:pPr>
        <w:pStyle w:val="Paragraphedeliste"/>
        <w:ind w:left="1080"/>
      </w:pPr>
      <w:r>
        <w:lastRenderedPageBreak/>
        <w:t>Au moins 21 jours si autres molécules et/ou troubles urinaires sous-jacents, lithiase, immunodépression.</w:t>
      </w:r>
    </w:p>
    <w:p w:rsidR="00F40F9B" w:rsidRPr="00271593" w:rsidRDefault="00F40F9B" w:rsidP="00271593">
      <w:pPr>
        <w:pStyle w:val="Paragraphedeliste"/>
        <w:ind w:left="1080"/>
      </w:pPr>
    </w:p>
    <w:sectPr w:rsidR="00F40F9B" w:rsidRPr="00271593" w:rsidSect="007178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421" w:rsidRDefault="009A1421" w:rsidP="005C2F31">
      <w:pPr>
        <w:spacing w:after="0" w:line="240" w:lineRule="auto"/>
      </w:pPr>
      <w:r>
        <w:separator/>
      </w:r>
    </w:p>
  </w:endnote>
  <w:endnote w:type="continuationSeparator" w:id="0">
    <w:p w:rsidR="009A1421" w:rsidRDefault="009A1421" w:rsidP="005C2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52F" w:rsidRDefault="0069452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52F" w:rsidRDefault="0069452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52F" w:rsidRDefault="0069452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421" w:rsidRDefault="009A1421" w:rsidP="005C2F31">
      <w:pPr>
        <w:spacing w:after="0" w:line="240" w:lineRule="auto"/>
      </w:pPr>
      <w:r>
        <w:separator/>
      </w:r>
    </w:p>
  </w:footnote>
  <w:footnote w:type="continuationSeparator" w:id="0">
    <w:p w:rsidR="009A1421" w:rsidRDefault="009A1421" w:rsidP="005C2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52F" w:rsidRDefault="0069452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421" w:rsidRDefault="009A1421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A1421" w:rsidRDefault="009A1421">
                              <w:pPr>
                                <w:pStyle w:val="En-tt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69452F">
                                <w:rPr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  <w:t>INFECTIONS URINAIRES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40"/>
                        <w:szCs w:val="40"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9A1421" w:rsidRDefault="009A1421">
                        <w:pPr>
                          <w:pStyle w:val="En-tt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69452F">
                          <w:rPr>
                            <w:caps/>
                            <w:color w:val="FFFFFF" w:themeColor="background1"/>
                            <w:sz w:val="40"/>
                            <w:szCs w:val="40"/>
                          </w:rPr>
                          <w:t>INFECTIONS URINAIRES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52F" w:rsidRDefault="0069452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80C76"/>
    <w:multiLevelType w:val="hybridMultilevel"/>
    <w:tmpl w:val="68D07C3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604458"/>
    <w:multiLevelType w:val="hybridMultilevel"/>
    <w:tmpl w:val="EA0AFF7A"/>
    <w:lvl w:ilvl="0" w:tplc="BE6A841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D52C34"/>
    <w:multiLevelType w:val="hybridMultilevel"/>
    <w:tmpl w:val="441685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D3830"/>
    <w:multiLevelType w:val="hybridMultilevel"/>
    <w:tmpl w:val="E598A4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31"/>
    <w:rsid w:val="00005EED"/>
    <w:rsid w:val="00041C6D"/>
    <w:rsid w:val="0004713A"/>
    <w:rsid w:val="00066847"/>
    <w:rsid w:val="000F1BF0"/>
    <w:rsid w:val="00137016"/>
    <w:rsid w:val="00155DC8"/>
    <w:rsid w:val="001716C5"/>
    <w:rsid w:val="001749ED"/>
    <w:rsid w:val="001A381D"/>
    <w:rsid w:val="001A5C1D"/>
    <w:rsid w:val="00212E0C"/>
    <w:rsid w:val="00242374"/>
    <w:rsid w:val="00271593"/>
    <w:rsid w:val="00284901"/>
    <w:rsid w:val="002C567E"/>
    <w:rsid w:val="002C6525"/>
    <w:rsid w:val="00302535"/>
    <w:rsid w:val="00306E59"/>
    <w:rsid w:val="00365FA8"/>
    <w:rsid w:val="00380263"/>
    <w:rsid w:val="003D04C5"/>
    <w:rsid w:val="003D7119"/>
    <w:rsid w:val="00415821"/>
    <w:rsid w:val="0042482E"/>
    <w:rsid w:val="0048675C"/>
    <w:rsid w:val="004D565A"/>
    <w:rsid w:val="00514254"/>
    <w:rsid w:val="00556324"/>
    <w:rsid w:val="005C2F31"/>
    <w:rsid w:val="0065611B"/>
    <w:rsid w:val="00681E6D"/>
    <w:rsid w:val="0069452F"/>
    <w:rsid w:val="006B68DA"/>
    <w:rsid w:val="0070717F"/>
    <w:rsid w:val="00717881"/>
    <w:rsid w:val="007225DC"/>
    <w:rsid w:val="00732A7F"/>
    <w:rsid w:val="007611AB"/>
    <w:rsid w:val="00786594"/>
    <w:rsid w:val="00787A18"/>
    <w:rsid w:val="007B1316"/>
    <w:rsid w:val="007D4733"/>
    <w:rsid w:val="007D5F70"/>
    <w:rsid w:val="007F03EE"/>
    <w:rsid w:val="0081452E"/>
    <w:rsid w:val="00835FD9"/>
    <w:rsid w:val="00867D21"/>
    <w:rsid w:val="00962A10"/>
    <w:rsid w:val="00980DE6"/>
    <w:rsid w:val="009A1421"/>
    <w:rsid w:val="009D1223"/>
    <w:rsid w:val="009D69ED"/>
    <w:rsid w:val="009F1D23"/>
    <w:rsid w:val="00AA28A1"/>
    <w:rsid w:val="00AA5D0E"/>
    <w:rsid w:val="00AD072B"/>
    <w:rsid w:val="00AF5635"/>
    <w:rsid w:val="00B6671D"/>
    <w:rsid w:val="00B804CB"/>
    <w:rsid w:val="00BC5142"/>
    <w:rsid w:val="00BE2ADC"/>
    <w:rsid w:val="00BE6F85"/>
    <w:rsid w:val="00BF3B4E"/>
    <w:rsid w:val="00C43C7E"/>
    <w:rsid w:val="00CA3D8B"/>
    <w:rsid w:val="00D02A1F"/>
    <w:rsid w:val="00D30CC5"/>
    <w:rsid w:val="00D5470D"/>
    <w:rsid w:val="00D84A68"/>
    <w:rsid w:val="00DF5A13"/>
    <w:rsid w:val="00E243DE"/>
    <w:rsid w:val="00E860B9"/>
    <w:rsid w:val="00EC27F7"/>
    <w:rsid w:val="00EF599B"/>
    <w:rsid w:val="00F1746D"/>
    <w:rsid w:val="00F3352A"/>
    <w:rsid w:val="00F40F9B"/>
    <w:rsid w:val="00F4262B"/>
    <w:rsid w:val="00F543DA"/>
    <w:rsid w:val="00F57941"/>
    <w:rsid w:val="00F57E2A"/>
    <w:rsid w:val="00F91C11"/>
    <w:rsid w:val="00FC1DF7"/>
    <w:rsid w:val="00FC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88BC0CD4-8226-471D-ABC7-D4A4AF83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2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2F31"/>
  </w:style>
  <w:style w:type="paragraph" w:styleId="Pieddepage">
    <w:name w:val="footer"/>
    <w:basedOn w:val="Normal"/>
    <w:link w:val="PieddepageCar"/>
    <w:uiPriority w:val="99"/>
    <w:unhideWhenUsed/>
    <w:rsid w:val="005C2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2F31"/>
  </w:style>
  <w:style w:type="table" w:styleId="Grilledutableau">
    <w:name w:val="Table Grid"/>
    <w:basedOn w:val="TableauNormal"/>
    <w:uiPriority w:val="39"/>
    <w:rsid w:val="005C2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C2F31"/>
    <w:pPr>
      <w:ind w:left="720"/>
      <w:contextualSpacing/>
    </w:pPr>
  </w:style>
  <w:style w:type="table" w:styleId="Grilledetableauclaire">
    <w:name w:val="Grid Table Light"/>
    <w:basedOn w:val="TableauNormal"/>
    <w:uiPriority w:val="40"/>
    <w:rsid w:val="005C2F3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1">
    <w:name w:val="Plain Table 1"/>
    <w:basedOn w:val="TableauNormal"/>
    <w:uiPriority w:val="41"/>
    <w:rsid w:val="005C2F3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3">
    <w:name w:val="Plain Table 3"/>
    <w:basedOn w:val="TableauNormal"/>
    <w:uiPriority w:val="43"/>
    <w:rsid w:val="005C2F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5C2F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1Clair-Accentuation3">
    <w:name w:val="Grid Table 1 Light Accent 3"/>
    <w:basedOn w:val="TableauNormal"/>
    <w:uiPriority w:val="46"/>
    <w:rsid w:val="005C2F31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5C2F31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">
    <w:name w:val="Grid Table 1 Light"/>
    <w:basedOn w:val="TableauNormal"/>
    <w:uiPriority w:val="46"/>
    <w:rsid w:val="005C2F3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5C2F3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0F2FB-3FEC-46FD-9AC6-DCF9FCC35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4EC57A52</Template>
  <TotalTime>732</TotalTime>
  <Pages>4</Pages>
  <Words>1041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INFECTIONS URINAIRES</vt:lpstr>
    </vt:vector>
  </TitlesOfParts>
  <Company/>
  <LinksUpToDate>false</LinksUpToDate>
  <CharactersWithSpaces>6754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INFECTIONS URINAIRES</dc:title>
  <dc:subject/>
  <dc:creator>Marlène Bricout</dc:creator>
  <cp:keywords/>
  <dc:description/>
  <cp:lastModifiedBy>Carole Martens</cp:lastModifiedBy>
  <cp:revision>101</cp:revision>
  <dcterms:created xsi:type="dcterms:W3CDTF">2019-09-06T09:02:00Z</dcterms:created>
  <dcterms:modified xsi:type="dcterms:W3CDTF">2019-10-07T10:10:00Z</dcterms:modified>
</cp:coreProperties>
</file>